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B52137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3A67D0">
        <w:rPr>
          <w:color w:val="000000" w:themeColor="text1"/>
          <w:sz w:val="44"/>
          <w:szCs w:val="44"/>
        </w:rPr>
        <w:t>Ituango</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748FDD2" w14:textId="77777777" w:rsidR="003A67D0" w:rsidRPr="003A67D0" w:rsidRDefault="003A67D0" w:rsidP="003A67D0">
      <w:pPr>
        <w:spacing w:line="360" w:lineRule="auto"/>
        <w:jc w:val="both"/>
        <w:rPr>
          <w:rFonts w:ascii="Aptos" w:hAnsi="Aptos" w:cs="Times New Roman"/>
        </w:rPr>
      </w:pPr>
      <w:r w:rsidRPr="003A67D0">
        <w:rPr>
          <w:rFonts w:ascii="Aptos" w:hAnsi="Aptos" w:cs="Times New Roman"/>
        </w:rPr>
        <w:lastRenderedPageBreak/>
        <w:t xml:space="preserve">El estado actual de su normatividad tributaria se establece en el acuerdo: 04 de 2021 y 015 de 2021 </w:t>
      </w:r>
    </w:p>
    <w:p w14:paraId="663E15E3" w14:textId="77777777" w:rsidR="003A67D0" w:rsidRPr="003A67D0" w:rsidRDefault="003A67D0" w:rsidP="003A67D0">
      <w:pPr>
        <w:spacing w:line="360" w:lineRule="auto"/>
        <w:jc w:val="both"/>
        <w:rPr>
          <w:rFonts w:ascii="Aptos" w:hAnsi="Aptos" w:cs="Times New Roman"/>
          <w:b/>
          <w:bCs/>
          <w:sz w:val="32"/>
          <w:szCs w:val="32"/>
        </w:rPr>
      </w:pPr>
      <w:r w:rsidRPr="003A67D0">
        <w:rPr>
          <w:rFonts w:ascii="Aptos" w:hAnsi="Aptos" w:cs="Times New Roman"/>
          <w:b/>
          <w:bCs/>
          <w:sz w:val="32"/>
          <w:szCs w:val="32"/>
        </w:rPr>
        <w:t>Hallazgos</w:t>
      </w:r>
    </w:p>
    <w:p w14:paraId="76DA92EF"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A43C320"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Límites al incremento del IPU: se adopta un postulado similar a la Ley 1995 de 2019 (si el incremento anual supera el 100 % por actualización catastral, aplicar IPC del año anterior + 8 puntos), sin referencia expresa a la ley, lo que reduce seguridad jurídica.</w:t>
      </w:r>
    </w:p>
    <w:p w14:paraId="54A17678"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Notificación de la factura: se implementó correo electrónico para notificar la determinación oficial, pese a que la forma especial exigida es página web y cartelera; riesgo de nulidad del cobro.</w:t>
      </w:r>
    </w:p>
    <w:p w14:paraId="514ABD3F"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Sobretasas sin límites de incremento: alumbrado público y bomberil (3 % sobre el IPU) carecen de topes/gradualidad frente a actualización o rezago catastral, con potencial de incrementos significativos en factura.</w:t>
      </w:r>
    </w:p>
    <w:p w14:paraId="3B4B0A0E"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Marco del IPU y tarifas: regulación desde el art. 12; 5‰–16‰ y 33‰ para predios urbanizados no construidos; impuesto compensatorio por embalses/generación; 2‰ para zonas de alto riesgo; facturación: trimestral (urbano) y semestral (rural).</w:t>
      </w:r>
    </w:p>
    <w:p w14:paraId="48CD91B4" w14:textId="77777777" w:rsidR="003A67D0" w:rsidRPr="003A67D0" w:rsidRDefault="003A67D0" w:rsidP="003A67D0">
      <w:pPr>
        <w:numPr>
          <w:ilvl w:val="0"/>
          <w:numId w:val="5"/>
        </w:numPr>
        <w:spacing w:line="360" w:lineRule="auto"/>
        <w:jc w:val="both"/>
        <w:rPr>
          <w:rFonts w:ascii="Aptos" w:hAnsi="Aptos" w:cs="Times New Roman"/>
        </w:rPr>
      </w:pPr>
      <w:r w:rsidRPr="003A67D0">
        <w:rPr>
          <w:rFonts w:ascii="Aptos" w:hAnsi="Aptos" w:cs="Times New Roman"/>
        </w:rPr>
        <w:t>Beneficios/Descuentos: 50 % para ESAL que conserven especies nativas o exóticas y para predios con cultivos que conserven bosques y fuentes hídricas.</w:t>
      </w:r>
    </w:p>
    <w:p w14:paraId="115B7F55" w14:textId="77777777" w:rsidR="003A67D0" w:rsidRPr="003A67D0" w:rsidRDefault="003A67D0" w:rsidP="003A67D0">
      <w:pPr>
        <w:spacing w:line="360" w:lineRule="auto"/>
        <w:jc w:val="both"/>
        <w:rPr>
          <w:rFonts w:ascii="Aptos" w:hAnsi="Aptos" w:cs="Times New Roman"/>
          <w:b/>
          <w:bCs/>
          <w:sz w:val="32"/>
          <w:szCs w:val="32"/>
        </w:rPr>
      </w:pPr>
      <w:r w:rsidRPr="003A67D0">
        <w:rPr>
          <w:rFonts w:ascii="Aptos" w:hAnsi="Aptos" w:cs="Times New Roman"/>
          <w:b/>
          <w:bCs/>
          <w:sz w:val="32"/>
          <w:szCs w:val="32"/>
        </w:rPr>
        <w:t>Recomendaciones</w:t>
      </w:r>
    </w:p>
    <w:p w14:paraId="7E30AAA7" w14:textId="77777777" w:rsidR="003A67D0" w:rsidRPr="003A67D0" w:rsidRDefault="003A67D0" w:rsidP="003A67D0">
      <w:pPr>
        <w:numPr>
          <w:ilvl w:val="0"/>
          <w:numId w:val="6"/>
        </w:numPr>
        <w:spacing w:line="360" w:lineRule="auto"/>
        <w:jc w:val="both"/>
        <w:rPr>
          <w:rFonts w:ascii="Aptos" w:hAnsi="Aptos" w:cs="Times New Roman"/>
        </w:rPr>
      </w:pPr>
      <w:r w:rsidRPr="003A67D0">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3A67D0">
        <w:rPr>
          <w:rFonts w:ascii="Aptos" w:hAnsi="Aptos" w:cs="Times New Roman"/>
        </w:rPr>
        <w:lastRenderedPageBreak/>
        <w:t>que todos los destinos contemplados en el modelo LADM-COL versión 4.1, cuenten con una tarifa definida, evitando la pérdida de ingresos fiscales.”</w:t>
      </w:r>
    </w:p>
    <w:p w14:paraId="2C0FD383" w14:textId="77777777" w:rsidR="003A67D0" w:rsidRPr="003A67D0" w:rsidRDefault="003A67D0" w:rsidP="003A67D0">
      <w:pPr>
        <w:numPr>
          <w:ilvl w:val="0"/>
          <w:numId w:val="6"/>
        </w:numPr>
        <w:spacing w:line="360" w:lineRule="auto"/>
        <w:jc w:val="both"/>
        <w:rPr>
          <w:rFonts w:ascii="Aptos" w:hAnsi="Aptos" w:cs="Times New Roman"/>
        </w:rPr>
      </w:pPr>
      <w:r w:rsidRPr="003A67D0">
        <w:rPr>
          <w:rFonts w:ascii="Aptos" w:hAnsi="Aptos" w:cs="Times New Roman"/>
        </w:rPr>
        <w:t>Formalizar en el estatuto la referencia a Ley 1995 de 2019 y la metodología de límites (IPC + 8 puntos cuando proceda), para reforzar la seguridad jurídica y la trazabilidad del cálculo.</w:t>
      </w:r>
    </w:p>
    <w:p w14:paraId="76321264" w14:textId="77777777" w:rsidR="003A67D0" w:rsidRPr="003A67D0" w:rsidRDefault="003A67D0" w:rsidP="003A67D0">
      <w:pPr>
        <w:numPr>
          <w:ilvl w:val="0"/>
          <w:numId w:val="6"/>
        </w:numPr>
        <w:spacing w:line="360" w:lineRule="auto"/>
        <w:jc w:val="both"/>
        <w:rPr>
          <w:rFonts w:ascii="Aptos" w:hAnsi="Aptos" w:cs="Times New Roman"/>
        </w:rPr>
      </w:pPr>
      <w:r w:rsidRPr="003A67D0">
        <w:rPr>
          <w:rFonts w:ascii="Aptos" w:hAnsi="Aptos" w:cs="Times New Roman"/>
        </w:rPr>
        <w:t>Adecuar el procedimiento de notificación de la factura a las formas especiales (página web y cartelera), descartando el correo electrónico, para asegurar validez y exigibilidad.</w:t>
      </w:r>
    </w:p>
    <w:p w14:paraId="79F8834E" w14:textId="77777777" w:rsidR="003A67D0" w:rsidRPr="003A67D0" w:rsidRDefault="003A67D0" w:rsidP="003A67D0">
      <w:pPr>
        <w:numPr>
          <w:ilvl w:val="0"/>
          <w:numId w:val="6"/>
        </w:numPr>
        <w:spacing w:line="360" w:lineRule="auto"/>
        <w:jc w:val="both"/>
        <w:rPr>
          <w:rFonts w:ascii="Aptos" w:hAnsi="Aptos" w:cs="Times New Roman"/>
        </w:rPr>
      </w:pPr>
      <w:r w:rsidRPr="003A67D0">
        <w:rPr>
          <w:rFonts w:ascii="Aptos" w:hAnsi="Aptos" w:cs="Times New Roman"/>
        </w:rPr>
        <w:t>Establecer límites y reglas de gradualidad para alumbrado público y sobretasa bomberil, cuando dependan del avalúo/IPU, a fin de prevenir variaciones desproporcionadas en escenarios de actualización/rezago.</w:t>
      </w:r>
    </w:p>
    <w:p w14:paraId="4DD246A3" w14:textId="77777777" w:rsidR="003A67D0" w:rsidRPr="003A67D0" w:rsidRDefault="003A67D0" w:rsidP="003A67D0">
      <w:pPr>
        <w:numPr>
          <w:ilvl w:val="0"/>
          <w:numId w:val="6"/>
        </w:numPr>
        <w:spacing w:line="360" w:lineRule="auto"/>
        <w:jc w:val="both"/>
        <w:rPr>
          <w:rFonts w:ascii="Aptos" w:hAnsi="Aptos" w:cs="Times New Roman"/>
        </w:rPr>
      </w:pPr>
      <w:r w:rsidRPr="003A67D0">
        <w:rPr>
          <w:rFonts w:ascii="Aptos" w:hAnsi="Aptos" w:cs="Times New Roman"/>
        </w:rPr>
        <w:t>Revisar el régimen de beneficios y descuentos, definiendo criterios de acceso, permanencia y verificación y evaluando su impacto fiscal.</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7797" w14:textId="77777777" w:rsidR="00780E90" w:rsidRDefault="00780E90" w:rsidP="00707E60">
      <w:pPr>
        <w:spacing w:after="0" w:line="240" w:lineRule="auto"/>
      </w:pPr>
      <w:r>
        <w:separator/>
      </w:r>
    </w:p>
  </w:endnote>
  <w:endnote w:type="continuationSeparator" w:id="0">
    <w:p w14:paraId="6023BA91" w14:textId="77777777" w:rsidR="00780E90" w:rsidRDefault="00780E90"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B2D9" w14:textId="77777777" w:rsidR="00780E90" w:rsidRDefault="00780E90" w:rsidP="00707E60">
      <w:pPr>
        <w:spacing w:after="0" w:line="240" w:lineRule="auto"/>
      </w:pPr>
      <w:r>
        <w:separator/>
      </w:r>
    </w:p>
  </w:footnote>
  <w:footnote w:type="continuationSeparator" w:id="0">
    <w:p w14:paraId="127D358E" w14:textId="77777777" w:rsidR="00780E90" w:rsidRDefault="00780E90"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6A6900B"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3A67D0">
                            <w:rPr>
                              <w:color w:val="000000" w:themeColor="text1"/>
                              <w:sz w:val="28"/>
                              <w:szCs w:val="28"/>
                            </w:rPr>
                            <w:t>Ituango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6A6900B"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3A67D0">
                      <w:rPr>
                        <w:color w:val="000000" w:themeColor="text1"/>
                        <w:sz w:val="28"/>
                        <w:szCs w:val="28"/>
                      </w:rPr>
                      <w:t>Ituango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2504C"/>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F154E2"/>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3"/>
  </w:num>
  <w:num w:numId="3" w16cid:durableId="44450645">
    <w:abstractNumId w:val="4"/>
  </w:num>
  <w:num w:numId="4" w16cid:durableId="1953855267">
    <w:abstractNumId w:val="0"/>
  </w:num>
  <w:num w:numId="5" w16cid:durableId="1091855336">
    <w:abstractNumId w:val="1"/>
  </w:num>
  <w:num w:numId="6" w16cid:durableId="20462542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67D0"/>
    <w:rsid w:val="003A7CEA"/>
    <w:rsid w:val="003E2241"/>
    <w:rsid w:val="004107CA"/>
    <w:rsid w:val="005422DF"/>
    <w:rsid w:val="005F7A75"/>
    <w:rsid w:val="00605B4C"/>
    <w:rsid w:val="00665846"/>
    <w:rsid w:val="006A249B"/>
    <w:rsid w:val="00707E60"/>
    <w:rsid w:val="00780E90"/>
    <w:rsid w:val="00813F67"/>
    <w:rsid w:val="00844CC8"/>
    <w:rsid w:val="00845F02"/>
    <w:rsid w:val="00855468"/>
    <w:rsid w:val="009D1F9E"/>
    <w:rsid w:val="00A27409"/>
    <w:rsid w:val="00A55C9A"/>
    <w:rsid w:val="00A60686"/>
    <w:rsid w:val="00A96461"/>
    <w:rsid w:val="00BC7035"/>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4</cp:revision>
  <dcterms:created xsi:type="dcterms:W3CDTF">2025-10-23T17:12:00Z</dcterms:created>
  <dcterms:modified xsi:type="dcterms:W3CDTF">2025-10-24T18:05:00Z</dcterms:modified>
</cp:coreProperties>
</file>