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24C321DE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4E972D6" w14:textId="77777777" w:rsidR="00DD0016" w:rsidRDefault="00DD0016" w:rsidP="00DD0016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439B987D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0E17E7">
        <w:rPr>
          <w:color w:val="000000" w:themeColor="text1"/>
          <w:sz w:val="44"/>
          <w:szCs w:val="44"/>
        </w:rPr>
        <w:t>Puerto Nare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5C9DCB25" w14:textId="77777777" w:rsidR="00707E60" w:rsidRDefault="00707E60"/>
    <w:p w14:paraId="1DEABEAB" w14:textId="77777777" w:rsidR="00EC55F8" w:rsidRPr="00EC55F8" w:rsidRDefault="00EC55F8" w:rsidP="00EC55F8">
      <w:pPr>
        <w:spacing w:line="360" w:lineRule="auto"/>
        <w:rPr>
          <w:rFonts w:ascii="Aptos" w:hAnsi="Aptos" w:cs="Times New Roman"/>
        </w:rPr>
      </w:pPr>
      <w:r w:rsidRPr="00EC55F8">
        <w:rPr>
          <w:rFonts w:ascii="Aptos" w:hAnsi="Aptos" w:cs="Times New Roman"/>
        </w:rPr>
        <w:lastRenderedPageBreak/>
        <w:t>El estado actual de su normatividad tributaria se establece en el Acuerdo 12 de 2022.</w:t>
      </w:r>
    </w:p>
    <w:p w14:paraId="51A1698E" w14:textId="77777777" w:rsidR="00EC55F8" w:rsidRPr="00EC55F8" w:rsidRDefault="00EC55F8" w:rsidP="00EC55F8">
      <w:pPr>
        <w:spacing w:line="360" w:lineRule="auto"/>
        <w:jc w:val="both"/>
        <w:rPr>
          <w:rFonts w:ascii="Aptos" w:hAnsi="Aptos" w:cs="Times New Roman"/>
          <w:b/>
          <w:bCs/>
          <w:sz w:val="32"/>
          <w:szCs w:val="32"/>
        </w:rPr>
      </w:pPr>
      <w:r w:rsidRPr="00EC55F8">
        <w:rPr>
          <w:rFonts w:ascii="Aptos" w:hAnsi="Aptos" w:cs="Times New Roman"/>
          <w:b/>
          <w:bCs/>
          <w:sz w:val="32"/>
          <w:szCs w:val="32"/>
        </w:rPr>
        <w:t>Hallazgos</w:t>
      </w:r>
    </w:p>
    <w:p w14:paraId="385B58B5" w14:textId="77777777" w:rsidR="00EC55F8" w:rsidRPr="00EC55F8" w:rsidRDefault="00EC55F8" w:rsidP="00EC55F8">
      <w:pPr>
        <w:numPr>
          <w:ilvl w:val="0"/>
          <w:numId w:val="27"/>
        </w:numPr>
        <w:spacing w:line="360" w:lineRule="auto"/>
        <w:jc w:val="both"/>
        <w:rPr>
          <w:rFonts w:ascii="Aptos" w:hAnsi="Aptos" w:cs="Times New Roman"/>
        </w:rPr>
      </w:pPr>
      <w:r w:rsidRPr="00EC55F8">
        <w:rPr>
          <w:rFonts w:ascii="Aptos" w:hAnsi="Aptos" w:cs="Times New Roman"/>
        </w:rPr>
        <w:t>La tabla de destinos económicos no contempla las modificaciones introducidas por la Resolución 2025060163216 del 14 de marzo de 2025, que redefine los destinos en Antioquia conforme al modelo LADM-COL v4.1. Omitir estos destinos deja sin tarifa a nuevas categorías y expone al Municipio a pérdidas por falta de un elemento esencial del tributo.</w:t>
      </w:r>
    </w:p>
    <w:p w14:paraId="2366F5B7" w14:textId="77777777" w:rsidR="00EC55F8" w:rsidRPr="00EC55F8" w:rsidRDefault="00EC55F8" w:rsidP="00EC55F8">
      <w:pPr>
        <w:numPr>
          <w:ilvl w:val="0"/>
          <w:numId w:val="27"/>
        </w:numPr>
        <w:spacing w:line="360" w:lineRule="auto"/>
        <w:jc w:val="both"/>
        <w:rPr>
          <w:rFonts w:ascii="Aptos" w:hAnsi="Aptos" w:cs="Times New Roman"/>
        </w:rPr>
      </w:pPr>
      <w:r w:rsidRPr="00EC55F8">
        <w:rPr>
          <w:rFonts w:ascii="Aptos" w:hAnsi="Aptos" w:cs="Times New Roman"/>
        </w:rPr>
        <w:t>Matriz tarifaria con bandas entre 5‰ y 16‰ y hasta 33‰ para lotes urbanizables no urbanizados y urbanizados no edificados, pero con clasificación y rangos que no están armonizados con LADM-COL v4.1; existen riesgos de solapamiento y de vacíos tarifarios por categorías mal definidas.</w:t>
      </w:r>
    </w:p>
    <w:p w14:paraId="3FED3EC7" w14:textId="77777777" w:rsidR="00EC55F8" w:rsidRPr="00EC55F8" w:rsidRDefault="00EC55F8" w:rsidP="00EC55F8">
      <w:pPr>
        <w:numPr>
          <w:ilvl w:val="0"/>
          <w:numId w:val="27"/>
        </w:numPr>
        <w:spacing w:line="360" w:lineRule="auto"/>
        <w:jc w:val="both"/>
        <w:rPr>
          <w:rFonts w:ascii="Aptos" w:hAnsi="Aptos" w:cs="Times New Roman"/>
        </w:rPr>
      </w:pPr>
      <w:r w:rsidRPr="00EC55F8">
        <w:rPr>
          <w:rFonts w:ascii="Aptos" w:hAnsi="Aptos" w:cs="Times New Roman"/>
        </w:rPr>
        <w:t>Uso de estratificación como criterio de tarifa en predios urbanos y referencia a vivienda rural sin claridad sobre la adopción y cobertura efectiva de la estratificación en el territorio (en especial para vivienda rural dispersa), lo que puede generar inequidades y litigiosidad.</w:t>
      </w:r>
    </w:p>
    <w:p w14:paraId="0B8E3535" w14:textId="77777777" w:rsidR="00EC55F8" w:rsidRPr="00EC55F8" w:rsidRDefault="00EC55F8" w:rsidP="00EC55F8">
      <w:pPr>
        <w:numPr>
          <w:ilvl w:val="0"/>
          <w:numId w:val="27"/>
        </w:numPr>
        <w:spacing w:line="360" w:lineRule="auto"/>
        <w:jc w:val="both"/>
        <w:rPr>
          <w:rFonts w:ascii="Aptos" w:hAnsi="Aptos" w:cs="Times New Roman"/>
        </w:rPr>
      </w:pPr>
      <w:r w:rsidRPr="00EC55F8">
        <w:rPr>
          <w:rFonts w:ascii="Aptos" w:hAnsi="Aptos" w:cs="Times New Roman"/>
        </w:rPr>
        <w:t>Reglas de incremento que combinan topes tipo IPC+8, límites por actualización y topes diferenciales; se observa falta de coherencia y de esquema de gradualidad específico para escenarios de actualización y rezago catastral; además, hay disposiciones con vigencia acotada que ya requieren actualización.</w:t>
      </w:r>
    </w:p>
    <w:p w14:paraId="699BEEB8" w14:textId="77777777" w:rsidR="00EC55F8" w:rsidRPr="00EC55F8" w:rsidRDefault="00EC55F8" w:rsidP="00EC55F8">
      <w:pPr>
        <w:numPr>
          <w:ilvl w:val="0"/>
          <w:numId w:val="27"/>
        </w:numPr>
        <w:spacing w:line="360" w:lineRule="auto"/>
        <w:jc w:val="both"/>
        <w:rPr>
          <w:rFonts w:ascii="Aptos" w:hAnsi="Aptos" w:cs="Times New Roman"/>
        </w:rPr>
      </w:pPr>
      <w:r w:rsidRPr="00EC55F8">
        <w:rPr>
          <w:rFonts w:ascii="Aptos" w:hAnsi="Aptos" w:cs="Times New Roman"/>
        </w:rPr>
        <w:t>Determinación por factura con mérito ejecutivo prevista, pero con un régimen de notificación que mezcla página web/cartelera y correo electrónico sin habilitación procedimental robusta del domicilio electrónico; riesgo de nulidades por notificación irregular.</w:t>
      </w:r>
    </w:p>
    <w:p w14:paraId="1E21F917" w14:textId="77777777" w:rsidR="00EC55F8" w:rsidRPr="00EC55F8" w:rsidRDefault="00EC55F8" w:rsidP="00EC55F8">
      <w:pPr>
        <w:numPr>
          <w:ilvl w:val="0"/>
          <w:numId w:val="27"/>
        </w:numPr>
        <w:spacing w:line="360" w:lineRule="auto"/>
        <w:jc w:val="both"/>
        <w:rPr>
          <w:rFonts w:ascii="Aptos" w:hAnsi="Aptos" w:cs="Times New Roman"/>
        </w:rPr>
      </w:pPr>
      <w:r w:rsidRPr="00EC55F8">
        <w:rPr>
          <w:rFonts w:ascii="Aptos" w:hAnsi="Aptos" w:cs="Times New Roman"/>
        </w:rPr>
        <w:t>Cobro en cuatro cuotas trimestrales sin una integración explícita al calendario tributario municipal (ventanas, prórrogas, intereses, sanciones) que ofrezca plena seguridad jurídica.</w:t>
      </w:r>
    </w:p>
    <w:p w14:paraId="185D9E95" w14:textId="77777777" w:rsidR="00EC55F8" w:rsidRPr="00EC55F8" w:rsidRDefault="00EC55F8" w:rsidP="00EC55F8">
      <w:pPr>
        <w:numPr>
          <w:ilvl w:val="0"/>
          <w:numId w:val="27"/>
        </w:numPr>
        <w:spacing w:line="360" w:lineRule="auto"/>
        <w:jc w:val="both"/>
        <w:rPr>
          <w:rFonts w:ascii="Aptos" w:hAnsi="Aptos" w:cs="Times New Roman"/>
        </w:rPr>
      </w:pPr>
      <w:r w:rsidRPr="00EC55F8">
        <w:rPr>
          <w:rFonts w:ascii="Aptos" w:hAnsi="Aptos" w:cs="Times New Roman"/>
        </w:rPr>
        <w:t>Mecanismos de alivio para víctimas prevén suspensión de términos y prohibición de cobro coactivo; faltan lineamientos sobre estimación y reporte del costo fiscal, incompatibilidades, y causales de pérdida del beneficio por incumplimiento.</w:t>
      </w:r>
    </w:p>
    <w:p w14:paraId="5A996895" w14:textId="77777777" w:rsidR="00EC55F8" w:rsidRPr="00EC55F8" w:rsidRDefault="00EC55F8" w:rsidP="00EC55F8">
      <w:pPr>
        <w:numPr>
          <w:ilvl w:val="0"/>
          <w:numId w:val="27"/>
        </w:numPr>
        <w:spacing w:line="360" w:lineRule="auto"/>
        <w:jc w:val="both"/>
        <w:rPr>
          <w:rFonts w:ascii="Aptos" w:hAnsi="Aptos" w:cs="Times New Roman"/>
        </w:rPr>
      </w:pPr>
      <w:r w:rsidRPr="00EC55F8">
        <w:rPr>
          <w:rFonts w:ascii="Aptos" w:hAnsi="Aptos" w:cs="Times New Roman"/>
        </w:rPr>
        <w:t xml:space="preserve">Catálogo de exentos amplio (públicos, culturales, religiosos, educación pública) y beneficios sectoriales (culturales, conservación botánica) sin controles de vigencia, </w:t>
      </w:r>
      <w:r w:rsidRPr="00EC55F8">
        <w:rPr>
          <w:rFonts w:ascii="Aptos" w:hAnsi="Aptos" w:cs="Times New Roman"/>
        </w:rPr>
        <w:lastRenderedPageBreak/>
        <w:t>verificación periódica de requisitos ni causal objetiva de pérdida; riesgo de erosión de base gravable.</w:t>
      </w:r>
    </w:p>
    <w:p w14:paraId="4A4E0DA5" w14:textId="77777777" w:rsidR="00EC55F8" w:rsidRPr="00EC55F8" w:rsidRDefault="00EC55F8" w:rsidP="00EC55F8">
      <w:pPr>
        <w:numPr>
          <w:ilvl w:val="0"/>
          <w:numId w:val="27"/>
        </w:numPr>
        <w:spacing w:line="360" w:lineRule="auto"/>
        <w:jc w:val="both"/>
        <w:rPr>
          <w:rFonts w:ascii="Aptos" w:hAnsi="Aptos" w:cs="Times New Roman"/>
        </w:rPr>
      </w:pPr>
      <w:r w:rsidRPr="00EC55F8">
        <w:rPr>
          <w:rFonts w:ascii="Aptos" w:hAnsi="Aptos" w:cs="Times New Roman"/>
        </w:rPr>
        <w:t>Compensación a cargo de proyectos de generación y transmisión de energía definida como 150% del impuesto referente al avalúo promedio; requiere precisión metodológica para evitar dobles cómputos y para sincronizar con la base catastral vigente.</w:t>
      </w:r>
    </w:p>
    <w:p w14:paraId="2F6E53E6" w14:textId="77777777" w:rsidR="00EC55F8" w:rsidRPr="00EC55F8" w:rsidRDefault="00EC55F8" w:rsidP="00EC55F8">
      <w:pPr>
        <w:numPr>
          <w:ilvl w:val="0"/>
          <w:numId w:val="27"/>
        </w:numPr>
        <w:spacing w:line="360" w:lineRule="auto"/>
        <w:jc w:val="both"/>
        <w:rPr>
          <w:rFonts w:ascii="Aptos" w:hAnsi="Aptos" w:cs="Times New Roman"/>
        </w:rPr>
      </w:pPr>
      <w:r w:rsidRPr="00EC55F8">
        <w:rPr>
          <w:rFonts w:ascii="Aptos" w:hAnsi="Aptos" w:cs="Times New Roman"/>
        </w:rPr>
        <w:t>Porcentaje ambiental del 15% sobre el recaudo del impuesto predial con traslado trimestral; falta integración operativa en la factura, orden de giro y controles de trazabilidad presupuestal.</w:t>
      </w:r>
    </w:p>
    <w:p w14:paraId="36957A0B" w14:textId="77777777" w:rsidR="00EC55F8" w:rsidRPr="00EC55F8" w:rsidRDefault="00EC55F8" w:rsidP="00EC55F8">
      <w:pPr>
        <w:numPr>
          <w:ilvl w:val="0"/>
          <w:numId w:val="27"/>
        </w:numPr>
        <w:spacing w:line="360" w:lineRule="auto"/>
        <w:jc w:val="both"/>
        <w:rPr>
          <w:rFonts w:ascii="Aptos" w:hAnsi="Aptos" w:cs="Times New Roman"/>
        </w:rPr>
      </w:pPr>
      <w:r w:rsidRPr="00EC55F8">
        <w:rPr>
          <w:rFonts w:ascii="Aptos" w:hAnsi="Aptos" w:cs="Times New Roman"/>
        </w:rPr>
        <w:t>Beneficios, exenciones y prohibiciones con enfoque ambiental y uso del suelo: existen exclusiones por parques naturales/públicos y beneficios por conservación botánica, pero no hay una ruta procedimental unificada (certificación, cartografía, vigencia y control del costo fiscal) ni diferenciación clara frente a “prohibido gravamen”.</w:t>
      </w:r>
    </w:p>
    <w:p w14:paraId="1F77C985" w14:textId="77777777" w:rsidR="00EC55F8" w:rsidRPr="00EC55F8" w:rsidRDefault="00EC55F8" w:rsidP="00EC55F8">
      <w:pPr>
        <w:spacing w:line="360" w:lineRule="auto"/>
        <w:jc w:val="both"/>
        <w:rPr>
          <w:rFonts w:ascii="Aptos" w:hAnsi="Aptos" w:cs="Times New Roman"/>
          <w:b/>
          <w:bCs/>
          <w:sz w:val="32"/>
          <w:szCs w:val="32"/>
        </w:rPr>
      </w:pPr>
      <w:r w:rsidRPr="00EC55F8">
        <w:rPr>
          <w:rFonts w:ascii="Aptos" w:hAnsi="Aptos" w:cs="Times New Roman"/>
          <w:b/>
          <w:bCs/>
          <w:sz w:val="32"/>
          <w:szCs w:val="32"/>
        </w:rPr>
        <w:t>Recomendaciones</w:t>
      </w:r>
    </w:p>
    <w:p w14:paraId="517ABEC5" w14:textId="77777777" w:rsidR="00EC55F8" w:rsidRPr="00EC55F8" w:rsidRDefault="00EC55F8" w:rsidP="00EC55F8">
      <w:pPr>
        <w:numPr>
          <w:ilvl w:val="0"/>
          <w:numId w:val="28"/>
        </w:numPr>
        <w:spacing w:line="360" w:lineRule="auto"/>
        <w:jc w:val="both"/>
        <w:rPr>
          <w:rFonts w:ascii="Aptos" w:hAnsi="Aptos" w:cs="Times New Roman"/>
        </w:rPr>
      </w:pPr>
      <w:r w:rsidRPr="00EC55F8">
        <w:rPr>
          <w:rFonts w:ascii="Aptos" w:hAnsi="Aptos" w:cs="Times New Roman"/>
        </w:rPr>
        <w:t>Actualizar la tabla de destinos económicos conforme a la Resolución 2025060163216. Esto garantizará que todos los destinos contemplados en el modelo LADM-COL versión 4.1 cuenten con una tarifa definida, evitando la pérdida de ingresos fiscales.</w:t>
      </w:r>
    </w:p>
    <w:p w14:paraId="6CF56208" w14:textId="77777777" w:rsidR="00EC55F8" w:rsidRPr="00EC55F8" w:rsidRDefault="00EC55F8" w:rsidP="00EC55F8">
      <w:pPr>
        <w:numPr>
          <w:ilvl w:val="0"/>
          <w:numId w:val="28"/>
        </w:numPr>
        <w:spacing w:line="360" w:lineRule="auto"/>
        <w:jc w:val="both"/>
        <w:rPr>
          <w:rFonts w:ascii="Aptos" w:hAnsi="Aptos" w:cs="Times New Roman"/>
        </w:rPr>
      </w:pPr>
      <w:r w:rsidRPr="00EC55F8">
        <w:rPr>
          <w:rFonts w:ascii="Aptos" w:hAnsi="Aptos" w:cs="Times New Roman"/>
        </w:rPr>
        <w:t>Rediseñar la matriz tarifaria alineándola con LADM-COL v4.1: criterios por destinación económica, rangos de avalúo claros, eliminación de categorías ambiguas y revisión de las bandas especiales de lotes hasta 33‰ para cerrar vacíos y solapamientos.</w:t>
      </w:r>
    </w:p>
    <w:p w14:paraId="1CBEBE46" w14:textId="77777777" w:rsidR="00EC55F8" w:rsidRPr="00EC55F8" w:rsidRDefault="00EC55F8" w:rsidP="00EC55F8">
      <w:pPr>
        <w:numPr>
          <w:ilvl w:val="0"/>
          <w:numId w:val="28"/>
        </w:numPr>
        <w:spacing w:line="360" w:lineRule="auto"/>
        <w:jc w:val="both"/>
        <w:rPr>
          <w:rFonts w:ascii="Aptos" w:hAnsi="Aptos" w:cs="Times New Roman"/>
        </w:rPr>
      </w:pPr>
      <w:r w:rsidRPr="00EC55F8">
        <w:rPr>
          <w:rFonts w:ascii="Aptos" w:hAnsi="Aptos" w:cs="Times New Roman"/>
        </w:rPr>
        <w:t>Verificar formalmente la adopción y cobertura de la estratificación; si no existe o es parcial, limitar su uso como criterio tarifario y adoptar reglas objetivas (rangos de avaluó por UVT o SMLMV) para vivienda urbana y rural dispersa.</w:t>
      </w:r>
    </w:p>
    <w:p w14:paraId="5C965686" w14:textId="77777777" w:rsidR="00EC55F8" w:rsidRPr="00EC55F8" w:rsidRDefault="00EC55F8" w:rsidP="00EC55F8">
      <w:pPr>
        <w:numPr>
          <w:ilvl w:val="0"/>
          <w:numId w:val="28"/>
        </w:numPr>
        <w:spacing w:line="360" w:lineRule="auto"/>
        <w:jc w:val="both"/>
        <w:rPr>
          <w:rFonts w:ascii="Aptos" w:hAnsi="Aptos" w:cs="Times New Roman"/>
        </w:rPr>
      </w:pPr>
      <w:r w:rsidRPr="00EC55F8">
        <w:rPr>
          <w:rFonts w:ascii="Aptos" w:hAnsi="Aptos" w:cs="Times New Roman"/>
        </w:rPr>
        <w:t>Incorporar límites y un esquema de transición/gradualidad para procesos de actualización y rezago catastral y de igual manera aplicar estas limitantes a las sobretasas atadas al IPU o al avaluó catastral .</w:t>
      </w:r>
    </w:p>
    <w:p w14:paraId="0E823D62" w14:textId="77777777" w:rsidR="00EC55F8" w:rsidRPr="00EC55F8" w:rsidRDefault="00EC55F8" w:rsidP="00EC55F8">
      <w:pPr>
        <w:numPr>
          <w:ilvl w:val="0"/>
          <w:numId w:val="28"/>
        </w:numPr>
        <w:spacing w:line="360" w:lineRule="auto"/>
        <w:jc w:val="both"/>
        <w:rPr>
          <w:rFonts w:ascii="Aptos" w:hAnsi="Aptos" w:cs="Times New Roman"/>
        </w:rPr>
      </w:pPr>
      <w:r w:rsidRPr="00EC55F8">
        <w:rPr>
          <w:rFonts w:ascii="Aptos" w:hAnsi="Aptos" w:cs="Times New Roman"/>
        </w:rPr>
        <w:t>Fortalecer la determinación por factura: definir contenido mínimo, protocolos de publicación en web y cartelera, constancias de publicación y para sustentar el mérito ejecutivo.</w:t>
      </w:r>
    </w:p>
    <w:p w14:paraId="35797EE4" w14:textId="77777777" w:rsidR="00EC55F8" w:rsidRPr="00EC55F8" w:rsidRDefault="00EC55F8" w:rsidP="00EC55F8">
      <w:pPr>
        <w:numPr>
          <w:ilvl w:val="0"/>
          <w:numId w:val="28"/>
        </w:numPr>
        <w:spacing w:line="360" w:lineRule="auto"/>
        <w:jc w:val="both"/>
        <w:rPr>
          <w:rFonts w:ascii="Aptos" w:hAnsi="Aptos" w:cs="Times New Roman"/>
        </w:rPr>
      </w:pPr>
      <w:r w:rsidRPr="00EC55F8">
        <w:rPr>
          <w:rFonts w:ascii="Aptos" w:hAnsi="Aptos" w:cs="Times New Roman"/>
        </w:rPr>
        <w:lastRenderedPageBreak/>
        <w:t>En alivios para víctimas, incorporar estimación y reporte anual del costo fiscal, verificación periódica de requisitos, reglas de incompatibilidad, causales de pérdida y procedimiento de terminación/renovación del beneficio.</w:t>
      </w:r>
    </w:p>
    <w:p w14:paraId="1105C3B4" w14:textId="77777777" w:rsidR="00EC55F8" w:rsidRPr="00EC55F8" w:rsidRDefault="00EC55F8" w:rsidP="00EC55F8">
      <w:pPr>
        <w:numPr>
          <w:ilvl w:val="0"/>
          <w:numId w:val="28"/>
        </w:numPr>
        <w:spacing w:line="360" w:lineRule="auto"/>
        <w:jc w:val="both"/>
        <w:rPr>
          <w:rFonts w:ascii="Aptos" w:hAnsi="Aptos" w:cs="Times New Roman"/>
        </w:rPr>
      </w:pPr>
      <w:r w:rsidRPr="00EC55F8">
        <w:rPr>
          <w:rFonts w:ascii="Aptos" w:hAnsi="Aptos" w:cs="Times New Roman"/>
        </w:rPr>
        <w:t>Precisar la metodología de la compensación por generación y transmisión de energía: fuente y cálculo del avalúo promedio, periodicidad, acto de liquidación, cartera y cobro; articular con autoridad catastral para evitar inconsistencias.</w:t>
      </w:r>
    </w:p>
    <w:p w14:paraId="25317FD2" w14:textId="4BB5F9A3" w:rsidR="00EC55F8" w:rsidRPr="00EC55F8" w:rsidRDefault="00EC55F8" w:rsidP="00EC55F8">
      <w:pPr>
        <w:numPr>
          <w:ilvl w:val="0"/>
          <w:numId w:val="28"/>
        </w:numPr>
        <w:spacing w:line="360" w:lineRule="auto"/>
        <w:jc w:val="both"/>
        <w:rPr>
          <w:rFonts w:ascii="Aptos" w:hAnsi="Aptos" w:cs="Times New Roman"/>
        </w:rPr>
      </w:pPr>
      <w:r w:rsidRPr="00EC55F8">
        <w:rPr>
          <w:rFonts w:ascii="Aptos" w:hAnsi="Aptos" w:cs="Times New Roman"/>
        </w:rPr>
        <w:t xml:space="preserve">Ajustar las reglas de base gravable mínima y </w:t>
      </w:r>
      <w:r w:rsidRPr="00EC55F8">
        <w:rPr>
          <w:rFonts w:ascii="Aptos" w:hAnsi="Aptos" w:cs="Times New Roman"/>
        </w:rPr>
        <w:t>auto avalúo</w:t>
      </w:r>
      <w:r w:rsidRPr="00EC55F8">
        <w:rPr>
          <w:rFonts w:ascii="Aptos" w:hAnsi="Aptos" w:cs="Times New Roman"/>
        </w:rPr>
        <w:t xml:space="preserve"> para evitar discrecionalidad: soportes técnicos, cruces con información catastral y límites a la auto estimación.</w:t>
      </w:r>
    </w:p>
    <w:p w14:paraId="59F5D9C1" w14:textId="77777777" w:rsidR="00707E60" w:rsidRDefault="00707E60"/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7255E" w14:textId="77777777" w:rsidR="0061468F" w:rsidRDefault="0061468F" w:rsidP="00707E60">
      <w:pPr>
        <w:spacing w:after="0" w:line="240" w:lineRule="auto"/>
      </w:pPr>
      <w:r>
        <w:separator/>
      </w:r>
    </w:p>
  </w:endnote>
  <w:endnote w:type="continuationSeparator" w:id="0">
    <w:p w14:paraId="0BBCC70A" w14:textId="77777777" w:rsidR="0061468F" w:rsidRDefault="0061468F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BB74A" w14:textId="77777777" w:rsidR="0061468F" w:rsidRDefault="0061468F" w:rsidP="00707E60">
      <w:pPr>
        <w:spacing w:after="0" w:line="240" w:lineRule="auto"/>
      </w:pPr>
      <w:r>
        <w:separator/>
      </w:r>
    </w:p>
  </w:footnote>
  <w:footnote w:type="continuationSeparator" w:id="0">
    <w:p w14:paraId="120736F6" w14:textId="77777777" w:rsidR="0061468F" w:rsidRDefault="0061468F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1C11A54F">
              <wp:simplePos x="0" y="0"/>
              <wp:positionH relativeFrom="column">
                <wp:posOffset>37238</wp:posOffset>
              </wp:positionH>
              <wp:positionV relativeFrom="paragraph">
                <wp:posOffset>-111760</wp:posOffset>
              </wp:positionV>
              <wp:extent cx="3256767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6767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45AB46E" w14:textId="77777777" w:rsidR="00DD0016" w:rsidRPr="00327CFA" w:rsidRDefault="00DD0016" w:rsidP="00DD0016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1395BE32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Ficha Municipio </w:t>
                          </w:r>
                          <w:r w:rsidR="000E17E7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Puerto Nare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2.95pt;margin-top:-8.8pt;width:256.4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" filled="f" stroked="f">
              <v:textbox>
                <w:txbxContent>
                  <w:p w14:paraId="745AB46E" w14:textId="77777777" w:rsidR="00DD0016" w:rsidRPr="00327CFA" w:rsidRDefault="00DD0016" w:rsidP="00DD0016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1395BE32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 xml:space="preserve">Ficha Municipio </w:t>
                    </w:r>
                    <w:r w:rsidR="000E17E7">
                      <w:rPr>
                        <w:color w:val="000000" w:themeColor="text1"/>
                        <w:sz w:val="28"/>
                        <w:szCs w:val="28"/>
                      </w:rPr>
                      <w:t>Puerto Nare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9CD"/>
    <w:multiLevelType w:val="multilevel"/>
    <w:tmpl w:val="51BA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5253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B14A8"/>
    <w:multiLevelType w:val="multilevel"/>
    <w:tmpl w:val="2C22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922E8"/>
    <w:multiLevelType w:val="multilevel"/>
    <w:tmpl w:val="B3B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5421A"/>
    <w:multiLevelType w:val="multilevel"/>
    <w:tmpl w:val="3CE4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4216E"/>
    <w:multiLevelType w:val="multilevel"/>
    <w:tmpl w:val="867C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C7C0D"/>
    <w:multiLevelType w:val="multilevel"/>
    <w:tmpl w:val="AA5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25BA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AA28CE"/>
    <w:multiLevelType w:val="multilevel"/>
    <w:tmpl w:val="3736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60A7F"/>
    <w:multiLevelType w:val="multilevel"/>
    <w:tmpl w:val="C788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86842"/>
    <w:multiLevelType w:val="multilevel"/>
    <w:tmpl w:val="E240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D46604"/>
    <w:multiLevelType w:val="multilevel"/>
    <w:tmpl w:val="F922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2710D"/>
    <w:multiLevelType w:val="multilevel"/>
    <w:tmpl w:val="B5C4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971A7"/>
    <w:multiLevelType w:val="multilevel"/>
    <w:tmpl w:val="CCF0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A27F7"/>
    <w:multiLevelType w:val="multilevel"/>
    <w:tmpl w:val="BAEE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C70AF"/>
    <w:multiLevelType w:val="multilevel"/>
    <w:tmpl w:val="982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915868"/>
    <w:multiLevelType w:val="multilevel"/>
    <w:tmpl w:val="A068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AF223E"/>
    <w:multiLevelType w:val="multilevel"/>
    <w:tmpl w:val="DBA2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E0E1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D71B67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672246"/>
    <w:multiLevelType w:val="multilevel"/>
    <w:tmpl w:val="292E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246065"/>
    <w:multiLevelType w:val="multilevel"/>
    <w:tmpl w:val="AD18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0C0014"/>
    <w:multiLevelType w:val="multilevel"/>
    <w:tmpl w:val="3A6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9C7F00"/>
    <w:multiLevelType w:val="multilevel"/>
    <w:tmpl w:val="F274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C527C6"/>
    <w:multiLevelType w:val="multilevel"/>
    <w:tmpl w:val="2DEA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9E3568"/>
    <w:multiLevelType w:val="multilevel"/>
    <w:tmpl w:val="412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704">
    <w:abstractNumId w:val="11"/>
  </w:num>
  <w:num w:numId="2" w16cid:durableId="1017347282">
    <w:abstractNumId w:val="18"/>
  </w:num>
  <w:num w:numId="3" w16cid:durableId="44450645">
    <w:abstractNumId w:val="21"/>
  </w:num>
  <w:num w:numId="4" w16cid:durableId="1953855267">
    <w:abstractNumId w:val="1"/>
  </w:num>
  <w:num w:numId="5" w16cid:durableId="1281302291">
    <w:abstractNumId w:val="7"/>
  </w:num>
  <w:num w:numId="6" w16cid:durableId="198319745">
    <w:abstractNumId w:val="20"/>
  </w:num>
  <w:num w:numId="7" w16cid:durableId="1222793921">
    <w:abstractNumId w:val="2"/>
  </w:num>
  <w:num w:numId="8" w16cid:durableId="1663466582">
    <w:abstractNumId w:val="23"/>
  </w:num>
  <w:num w:numId="9" w16cid:durableId="1601404175">
    <w:abstractNumId w:val="27"/>
  </w:num>
  <w:num w:numId="10" w16cid:durableId="1696037023">
    <w:abstractNumId w:val="25"/>
  </w:num>
  <w:num w:numId="11" w16cid:durableId="1726874531">
    <w:abstractNumId w:val="6"/>
  </w:num>
  <w:num w:numId="12" w16cid:durableId="1308511851">
    <w:abstractNumId w:val="15"/>
  </w:num>
  <w:num w:numId="13" w16cid:durableId="470710239">
    <w:abstractNumId w:val="10"/>
  </w:num>
  <w:num w:numId="14" w16cid:durableId="335232453">
    <w:abstractNumId w:val="0"/>
  </w:num>
  <w:num w:numId="15" w16cid:durableId="864756385">
    <w:abstractNumId w:val="24"/>
  </w:num>
  <w:num w:numId="16" w16cid:durableId="1808812370">
    <w:abstractNumId w:val="8"/>
  </w:num>
  <w:num w:numId="17" w16cid:durableId="230238942">
    <w:abstractNumId w:val="26"/>
  </w:num>
  <w:num w:numId="18" w16cid:durableId="1750955448">
    <w:abstractNumId w:val="16"/>
  </w:num>
  <w:num w:numId="19" w16cid:durableId="1620525228">
    <w:abstractNumId w:val="19"/>
  </w:num>
  <w:num w:numId="20" w16cid:durableId="1971281397">
    <w:abstractNumId w:val="17"/>
  </w:num>
  <w:num w:numId="21" w16cid:durableId="898437512">
    <w:abstractNumId w:val="12"/>
  </w:num>
  <w:num w:numId="22" w16cid:durableId="1857577869">
    <w:abstractNumId w:val="14"/>
  </w:num>
  <w:num w:numId="23" w16cid:durableId="2099017172">
    <w:abstractNumId w:val="4"/>
  </w:num>
  <w:num w:numId="24" w16cid:durableId="247349472">
    <w:abstractNumId w:val="5"/>
  </w:num>
  <w:num w:numId="25" w16cid:durableId="999231555">
    <w:abstractNumId w:val="9"/>
  </w:num>
  <w:num w:numId="26" w16cid:durableId="720834703">
    <w:abstractNumId w:val="3"/>
  </w:num>
  <w:num w:numId="27" w16cid:durableId="415399262">
    <w:abstractNumId w:val="13"/>
  </w:num>
  <w:num w:numId="28" w16cid:durableId="1225082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84B98"/>
    <w:rsid w:val="00087C16"/>
    <w:rsid w:val="000A76FA"/>
    <w:rsid w:val="000C2026"/>
    <w:rsid w:val="000E17E7"/>
    <w:rsid w:val="001105DF"/>
    <w:rsid w:val="00120797"/>
    <w:rsid w:val="00134527"/>
    <w:rsid w:val="0016665C"/>
    <w:rsid w:val="00180D84"/>
    <w:rsid w:val="001B556D"/>
    <w:rsid w:val="00211E44"/>
    <w:rsid w:val="0023618C"/>
    <w:rsid w:val="00280F9A"/>
    <w:rsid w:val="002A4167"/>
    <w:rsid w:val="003650D0"/>
    <w:rsid w:val="003A7CEA"/>
    <w:rsid w:val="003E2241"/>
    <w:rsid w:val="004107CA"/>
    <w:rsid w:val="004671B7"/>
    <w:rsid w:val="005422DF"/>
    <w:rsid w:val="005B772A"/>
    <w:rsid w:val="005D08ED"/>
    <w:rsid w:val="005F7A75"/>
    <w:rsid w:val="00605B4C"/>
    <w:rsid w:val="0061468F"/>
    <w:rsid w:val="00656CE7"/>
    <w:rsid w:val="00665846"/>
    <w:rsid w:val="006A249B"/>
    <w:rsid w:val="00707E60"/>
    <w:rsid w:val="00745C46"/>
    <w:rsid w:val="00813F67"/>
    <w:rsid w:val="00816BD4"/>
    <w:rsid w:val="00844CC8"/>
    <w:rsid w:val="00845F02"/>
    <w:rsid w:val="00852ADC"/>
    <w:rsid w:val="00855468"/>
    <w:rsid w:val="008A01C7"/>
    <w:rsid w:val="00944C88"/>
    <w:rsid w:val="0096088F"/>
    <w:rsid w:val="009D1F9E"/>
    <w:rsid w:val="009F1B3C"/>
    <w:rsid w:val="00A27409"/>
    <w:rsid w:val="00A407A7"/>
    <w:rsid w:val="00A456B7"/>
    <w:rsid w:val="00A55C9A"/>
    <w:rsid w:val="00A566B6"/>
    <w:rsid w:val="00A60686"/>
    <w:rsid w:val="00A96461"/>
    <w:rsid w:val="00AA7DD4"/>
    <w:rsid w:val="00AE2D50"/>
    <w:rsid w:val="00BB442A"/>
    <w:rsid w:val="00BC7035"/>
    <w:rsid w:val="00C04706"/>
    <w:rsid w:val="00C25E4F"/>
    <w:rsid w:val="00C942B0"/>
    <w:rsid w:val="00D37EF2"/>
    <w:rsid w:val="00DB14E5"/>
    <w:rsid w:val="00DD0016"/>
    <w:rsid w:val="00E20840"/>
    <w:rsid w:val="00E608BE"/>
    <w:rsid w:val="00E733D1"/>
    <w:rsid w:val="00EC55F8"/>
    <w:rsid w:val="00EF712C"/>
    <w:rsid w:val="00F244D0"/>
    <w:rsid w:val="00F27231"/>
    <w:rsid w:val="00F65205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Subtitle"/>
    <w:next w:val="Normal"/>
    <w:link w:val="TitleChar"/>
    <w:uiPriority w:val="10"/>
    <w:qFormat/>
    <w:rsid w:val="00AA7DD4"/>
    <w:pPr>
      <w:spacing w:line="360" w:lineRule="auto"/>
      <w:ind w:left="1080" w:hanging="720"/>
      <w:contextualSpacing/>
      <w:jc w:val="both"/>
    </w:pPr>
    <w:rPr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DD4"/>
    <w:rPr>
      <w:rFonts w:eastAsiaTheme="majorEastAsia" w:cstheme="majorBidi"/>
      <w:b/>
      <w:bCs/>
      <w:color w:val="000000" w:themeColor="text1"/>
      <w:spacing w:val="15"/>
      <w:sz w:val="32"/>
      <w:szCs w:val="32"/>
      <w:lang w:val="es-CO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paragraph" w:customStyle="1" w:styleId="Style1">
    <w:name w:val="Style1"/>
    <w:basedOn w:val="Normal"/>
    <w:qFormat/>
    <w:rsid w:val="00AA7DD4"/>
    <w:pPr>
      <w:spacing w:line="360" w:lineRule="auto"/>
      <w:ind w:left="720" w:hanging="360"/>
      <w:jc w:val="both"/>
    </w:pPr>
    <w:rPr>
      <w:rFonts w:ascii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729</Words>
  <Characters>4160</Characters>
  <Application>Microsoft Office Word</Application>
  <DocSecurity>0</DocSecurity>
  <Lines>34</Lines>
  <Paragraphs>9</Paragraphs>
  <ScaleCrop>false</ScaleCrop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24</cp:revision>
  <dcterms:created xsi:type="dcterms:W3CDTF">2025-10-23T17:12:00Z</dcterms:created>
  <dcterms:modified xsi:type="dcterms:W3CDTF">2025-11-04T16:17:00Z</dcterms:modified>
</cp:coreProperties>
</file>