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24C321DE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551CE5FA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F244D0">
        <w:rPr>
          <w:color w:val="000000" w:themeColor="text1"/>
          <w:sz w:val="44"/>
          <w:szCs w:val="44"/>
        </w:rPr>
        <w:t>Sabanalarga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60DA594A" w14:textId="77777777" w:rsidR="001105DF" w:rsidRPr="001105DF" w:rsidRDefault="001105DF" w:rsidP="001105DF">
      <w:pPr>
        <w:spacing w:line="360" w:lineRule="auto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lastRenderedPageBreak/>
        <w:t>El estado actual de su normatividad tributaria se establece en el Acuerdo 15 de 2020.</w:t>
      </w:r>
    </w:p>
    <w:p w14:paraId="33A0437A" w14:textId="77777777" w:rsidR="001105DF" w:rsidRPr="001105DF" w:rsidRDefault="001105DF" w:rsidP="001105DF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1105DF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26495FC3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La tabla de destinos económicos no incorpora las modificaciones de la Resolución 2025060163216 (14-mar-2025), que actualiza los destinos en Antioquia conforme al modelo LADM-COL v4.1; esto deja sin tarifa nuevas categorías y expone a pérdida de ingreso al faltar un elemento esencial del tributo.</w:t>
      </w:r>
    </w:p>
    <w:p w14:paraId="67EB7768" w14:textId="1A10A63A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 xml:space="preserve">Autorización y elementos del IPU definidos; inclusión de tenedores en concesión; base gravable con opción de </w:t>
      </w:r>
      <w:r w:rsidRPr="001105DF">
        <w:rPr>
          <w:rFonts w:ascii="Aptos" w:hAnsi="Aptos" w:cs="Times New Roman"/>
        </w:rPr>
        <w:t>auto avalúo</w:t>
      </w:r>
      <w:r w:rsidRPr="001105DF">
        <w:rPr>
          <w:rFonts w:ascii="Aptos" w:hAnsi="Aptos" w:cs="Times New Roman"/>
        </w:rPr>
        <w:t xml:space="preserve"> validado por autoridad catastral; período anual.</w:t>
      </w:r>
    </w:p>
    <w:p w14:paraId="4F50BA21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Matriz tarifaria por destinación y sub-clasificación urbano/rural con rangos en UVT; tarifas generales entre 6×1000 y 16×1000; para lotes urbanizados no construidos y urbanizables no urbanizados aplica 20×1000.</w:t>
      </w:r>
    </w:p>
    <w:p w14:paraId="67016CA9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Cobertura de categorías especiales (bien de dominio público, reserva forestal, parcela recreacional, servicios especiales) con milajes propios.</w:t>
      </w:r>
    </w:p>
    <w:p w14:paraId="3CB28615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Determinación por factura prevista con mérito ejecutivo, pero supeditada a reglamentación del alcalde; riesgo de invalidez al no estar conforme al procedimiento legal.</w:t>
      </w:r>
    </w:p>
    <w:p w14:paraId="27CEA2AE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Pago en cuatro cuotas; “pronto pago” sin porcentaje de beneficio, ni ventana de pago.</w:t>
      </w:r>
    </w:p>
    <w:p w14:paraId="3D43B8E4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Límites del IPU adoptan los de la Ley 1995 de 2019 (IPC + 8 p.p. para actualizados; 50 % para no actualizados; regla especial para vivienda de menores ingresos) con exclusiones típicas.</w:t>
      </w:r>
    </w:p>
    <w:p w14:paraId="6A18C7D6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Sobretasa ambiental: 1,5×1000 sobre avalúo; cobro en la misma factura del IPU y traslado periódico a la CAR.</w:t>
      </w:r>
    </w:p>
    <w:p w14:paraId="53B741BF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Tratamientos especiales a 5×1000 por hasta diez años para ciertas destinaciones (ONG, conservación histórica/arquitectónica, educación sin ánimo de lucro), con requisitos y pérdida automática por cambio de uso.</w:t>
      </w:r>
    </w:p>
    <w:p w14:paraId="38621088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Reglas sobre áreas de retiro y supuestos de no liquidación por entregas anticipadas para utilidad pública condicionadas a paz y salvo.</w:t>
      </w:r>
    </w:p>
    <w:p w14:paraId="25210A93" w14:textId="77777777" w:rsidR="001105DF" w:rsidRPr="001105DF" w:rsidRDefault="001105DF" w:rsidP="001105DF">
      <w:pPr>
        <w:numPr>
          <w:ilvl w:val="0"/>
          <w:numId w:val="21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 xml:space="preserve">Beneficios, exenciones y prohibiciones con enfoque ambiental y uso del suelo: prohibición de gravamen para parques naturales o públicos estatales; exenciones para inmuebles de </w:t>
      </w:r>
      <w:r w:rsidRPr="001105DF">
        <w:rPr>
          <w:rFonts w:ascii="Aptos" w:hAnsi="Aptos" w:cs="Times New Roman"/>
        </w:rPr>
        <w:lastRenderedPageBreak/>
        <w:t>corporaciones autónomas destinados a conservación (hoyas, laderas, escarpas, conducción de aguas, embalses, colectores, tanques y plantas de tratamiento) y para áreas de conservación de aguas, fauna y flora reglamentadas por el Concejo.</w:t>
      </w:r>
    </w:p>
    <w:p w14:paraId="7F9F62B8" w14:textId="77777777" w:rsidR="001105DF" w:rsidRPr="001105DF" w:rsidRDefault="001105DF" w:rsidP="001105DF">
      <w:pPr>
        <w:spacing w:line="360" w:lineRule="auto"/>
        <w:jc w:val="both"/>
        <w:rPr>
          <w:rFonts w:ascii="Aptos" w:hAnsi="Aptos" w:cs="Times New Roman"/>
          <w:b/>
          <w:bCs/>
          <w:sz w:val="32"/>
          <w:szCs w:val="32"/>
        </w:rPr>
      </w:pPr>
      <w:r w:rsidRPr="001105DF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209B2B53" w14:textId="77777777" w:rsidR="001105DF" w:rsidRPr="001105DF" w:rsidRDefault="001105DF" w:rsidP="001105DF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Actualizar la tabla de destinos económicos conforme a la Resolución 2025060163216. Esto garantizará que todos los destinos contemplados en el modelo LADM-COL versión 4.1 cuenten con una tarifa definida, evitando la pérdida de ingresos fiscales.</w:t>
      </w:r>
    </w:p>
    <w:p w14:paraId="7BD9DA01" w14:textId="77777777" w:rsidR="001105DF" w:rsidRPr="001105DF" w:rsidRDefault="001105DF" w:rsidP="001105DF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Precisar en el estatuto el contenido mínimo de la factura como acto de determinación y el procedimiento de notificación (inserción web + publicación en cartelera y envío como divulgación adicional) para sustentar mérito ejecutivo.</w:t>
      </w:r>
    </w:p>
    <w:p w14:paraId="6F8D43CF" w14:textId="77777777" w:rsidR="001105DF" w:rsidRPr="001105DF" w:rsidRDefault="001105DF" w:rsidP="001105DF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Definir en el estatuto los porcentajes y ventanas de “pronto pago”, su base (solo impuesto) y su incompatibilidad con otros incentivos, parametrizado en la facturación.</w:t>
      </w:r>
    </w:p>
    <w:p w14:paraId="196F482C" w14:textId="77777777" w:rsidR="001105DF" w:rsidRPr="001105DF" w:rsidRDefault="001105DF" w:rsidP="001105DF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Mantener los límites de la Ley 1995 de 2019 y complementar con una transición de impacto por actualización/rezago que module incrementos anuales hasta converger a tarifa plena, coordinada con límites a las sobretasas que estén relacionadas al avaluó castral o al cobro del IPU.</w:t>
      </w:r>
    </w:p>
    <w:p w14:paraId="5D309015" w14:textId="77777777" w:rsidR="001105DF" w:rsidRPr="001105DF" w:rsidRDefault="001105DF" w:rsidP="001105DF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Cuando el alivio recaiga sobre porciones del predio, liquidar proporcionalmente a la parte certificada y exigir renovación periódica del soporte técnico.</w:t>
      </w:r>
    </w:p>
    <w:p w14:paraId="2B145623" w14:textId="77777777" w:rsidR="001105DF" w:rsidRPr="001105DF" w:rsidRDefault="001105DF" w:rsidP="001105DF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En tratamientos especiales a 5×1000, incluir justificación fiscal, control de permanencia del uso y métricas para renovación o terminación anticipada.</w:t>
      </w:r>
    </w:p>
    <w:p w14:paraId="463954C1" w14:textId="77777777" w:rsidR="001105DF" w:rsidRPr="001105DF" w:rsidRDefault="001105DF" w:rsidP="001105DF">
      <w:pPr>
        <w:numPr>
          <w:ilvl w:val="0"/>
          <w:numId w:val="22"/>
        </w:numPr>
        <w:spacing w:line="360" w:lineRule="auto"/>
        <w:jc w:val="both"/>
        <w:rPr>
          <w:rFonts w:ascii="Aptos" w:hAnsi="Aptos" w:cs="Times New Roman"/>
        </w:rPr>
      </w:pPr>
      <w:r w:rsidRPr="001105DF">
        <w:rPr>
          <w:rFonts w:ascii="Aptos" w:hAnsi="Aptos" w:cs="Times New Roman"/>
        </w:rPr>
        <w:t>Integrar en calendario tributario el porcentaje de beneficio del pronto pago y las ventanas de acceso al beneficio.</w:t>
      </w:r>
    </w:p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107B" w14:textId="77777777" w:rsidR="00C25E4F" w:rsidRDefault="00C25E4F" w:rsidP="00707E60">
      <w:pPr>
        <w:spacing w:after="0" w:line="240" w:lineRule="auto"/>
      </w:pPr>
      <w:r>
        <w:separator/>
      </w:r>
    </w:p>
  </w:endnote>
  <w:endnote w:type="continuationSeparator" w:id="0">
    <w:p w14:paraId="77B06CB0" w14:textId="77777777" w:rsidR="00C25E4F" w:rsidRDefault="00C25E4F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E8F02" w14:textId="77777777" w:rsidR="00C25E4F" w:rsidRDefault="00C25E4F" w:rsidP="00707E60">
      <w:pPr>
        <w:spacing w:after="0" w:line="240" w:lineRule="auto"/>
      </w:pPr>
      <w:r>
        <w:separator/>
      </w:r>
    </w:p>
  </w:footnote>
  <w:footnote w:type="continuationSeparator" w:id="0">
    <w:p w14:paraId="53B2F034" w14:textId="77777777" w:rsidR="00C25E4F" w:rsidRDefault="00C25E4F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1C11A54F">
              <wp:simplePos x="0" y="0"/>
              <wp:positionH relativeFrom="column">
                <wp:posOffset>37238</wp:posOffset>
              </wp:positionH>
              <wp:positionV relativeFrom="paragraph">
                <wp:posOffset>-111760</wp:posOffset>
              </wp:positionV>
              <wp:extent cx="3256767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56767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633B579E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Ficha Municipio </w:t>
                          </w:r>
                          <w:r w:rsidR="004671B7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Sabanalarga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2.95pt;margin-top:-8.8pt;width:256.4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633B579E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 xml:space="preserve">Ficha Municipio </w:t>
                    </w:r>
                    <w:r w:rsidR="004671B7">
                      <w:rPr>
                        <w:color w:val="000000" w:themeColor="text1"/>
                        <w:sz w:val="28"/>
                        <w:szCs w:val="28"/>
                      </w:rPr>
                      <w:t>Sabanalarga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9CD"/>
    <w:multiLevelType w:val="multilevel"/>
    <w:tmpl w:val="51B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14A8"/>
    <w:multiLevelType w:val="multilevel"/>
    <w:tmpl w:val="2C22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7C0D"/>
    <w:multiLevelType w:val="multilevel"/>
    <w:tmpl w:val="AA5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5BA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A28CE"/>
    <w:multiLevelType w:val="multilevel"/>
    <w:tmpl w:val="373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86842"/>
    <w:multiLevelType w:val="multilevel"/>
    <w:tmpl w:val="E24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46604"/>
    <w:multiLevelType w:val="multilevel"/>
    <w:tmpl w:val="F922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971A7"/>
    <w:multiLevelType w:val="multilevel"/>
    <w:tmpl w:val="CCF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A27F7"/>
    <w:multiLevelType w:val="multilevel"/>
    <w:tmpl w:val="BAE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C70AF"/>
    <w:multiLevelType w:val="multilevel"/>
    <w:tmpl w:val="982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15868"/>
    <w:multiLevelType w:val="multilevel"/>
    <w:tmpl w:val="A06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F223E"/>
    <w:multiLevelType w:val="multilevel"/>
    <w:tmpl w:val="DBA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E0E1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246065"/>
    <w:multiLevelType w:val="multilevel"/>
    <w:tmpl w:val="AD1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C0014"/>
    <w:multiLevelType w:val="multilevel"/>
    <w:tmpl w:val="3A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C7F00"/>
    <w:multiLevelType w:val="multilevel"/>
    <w:tmpl w:val="F27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C527C6"/>
    <w:multiLevelType w:val="multilevel"/>
    <w:tmpl w:val="2DE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E3568"/>
    <w:multiLevelType w:val="multilevel"/>
    <w:tmpl w:val="412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04">
    <w:abstractNumId w:val="7"/>
  </w:num>
  <w:num w:numId="2" w16cid:durableId="1017347282">
    <w:abstractNumId w:val="13"/>
  </w:num>
  <w:num w:numId="3" w16cid:durableId="44450645">
    <w:abstractNumId w:val="16"/>
  </w:num>
  <w:num w:numId="4" w16cid:durableId="1953855267">
    <w:abstractNumId w:val="1"/>
  </w:num>
  <w:num w:numId="5" w16cid:durableId="1281302291">
    <w:abstractNumId w:val="4"/>
  </w:num>
  <w:num w:numId="6" w16cid:durableId="198319745">
    <w:abstractNumId w:val="15"/>
  </w:num>
  <w:num w:numId="7" w16cid:durableId="1222793921">
    <w:abstractNumId w:val="2"/>
  </w:num>
  <w:num w:numId="8" w16cid:durableId="1663466582">
    <w:abstractNumId w:val="17"/>
  </w:num>
  <w:num w:numId="9" w16cid:durableId="1601404175">
    <w:abstractNumId w:val="21"/>
  </w:num>
  <w:num w:numId="10" w16cid:durableId="1696037023">
    <w:abstractNumId w:val="19"/>
  </w:num>
  <w:num w:numId="11" w16cid:durableId="1726874531">
    <w:abstractNumId w:val="3"/>
  </w:num>
  <w:num w:numId="12" w16cid:durableId="1308511851">
    <w:abstractNumId w:val="10"/>
  </w:num>
  <w:num w:numId="13" w16cid:durableId="470710239">
    <w:abstractNumId w:val="6"/>
  </w:num>
  <w:num w:numId="14" w16cid:durableId="335232453">
    <w:abstractNumId w:val="0"/>
  </w:num>
  <w:num w:numId="15" w16cid:durableId="864756385">
    <w:abstractNumId w:val="18"/>
  </w:num>
  <w:num w:numId="16" w16cid:durableId="1808812370">
    <w:abstractNumId w:val="5"/>
  </w:num>
  <w:num w:numId="17" w16cid:durableId="230238942">
    <w:abstractNumId w:val="20"/>
  </w:num>
  <w:num w:numId="18" w16cid:durableId="1750955448">
    <w:abstractNumId w:val="11"/>
  </w:num>
  <w:num w:numId="19" w16cid:durableId="1620525228">
    <w:abstractNumId w:val="14"/>
  </w:num>
  <w:num w:numId="20" w16cid:durableId="1971281397">
    <w:abstractNumId w:val="12"/>
  </w:num>
  <w:num w:numId="21" w16cid:durableId="898437512">
    <w:abstractNumId w:val="8"/>
  </w:num>
  <w:num w:numId="22" w16cid:durableId="18575778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84B98"/>
    <w:rsid w:val="00087C16"/>
    <w:rsid w:val="000C2026"/>
    <w:rsid w:val="001105DF"/>
    <w:rsid w:val="00120797"/>
    <w:rsid w:val="00134527"/>
    <w:rsid w:val="0016665C"/>
    <w:rsid w:val="001B556D"/>
    <w:rsid w:val="00211E44"/>
    <w:rsid w:val="0023618C"/>
    <w:rsid w:val="00280F9A"/>
    <w:rsid w:val="002A4167"/>
    <w:rsid w:val="003650D0"/>
    <w:rsid w:val="003A7CEA"/>
    <w:rsid w:val="003E2241"/>
    <w:rsid w:val="004107CA"/>
    <w:rsid w:val="004671B7"/>
    <w:rsid w:val="005422DF"/>
    <w:rsid w:val="005B772A"/>
    <w:rsid w:val="005D08ED"/>
    <w:rsid w:val="005F7A75"/>
    <w:rsid w:val="00605B4C"/>
    <w:rsid w:val="00656CE7"/>
    <w:rsid w:val="00665846"/>
    <w:rsid w:val="006A249B"/>
    <w:rsid w:val="00707E60"/>
    <w:rsid w:val="00745C46"/>
    <w:rsid w:val="00813F67"/>
    <w:rsid w:val="00844CC8"/>
    <w:rsid w:val="00845F02"/>
    <w:rsid w:val="00852ADC"/>
    <w:rsid w:val="00855468"/>
    <w:rsid w:val="008A01C7"/>
    <w:rsid w:val="00944C88"/>
    <w:rsid w:val="0096088F"/>
    <w:rsid w:val="009D1F9E"/>
    <w:rsid w:val="00A27409"/>
    <w:rsid w:val="00A407A7"/>
    <w:rsid w:val="00A456B7"/>
    <w:rsid w:val="00A55C9A"/>
    <w:rsid w:val="00A60686"/>
    <w:rsid w:val="00A96461"/>
    <w:rsid w:val="00AA7DD4"/>
    <w:rsid w:val="00BB442A"/>
    <w:rsid w:val="00BC7035"/>
    <w:rsid w:val="00C04706"/>
    <w:rsid w:val="00C25E4F"/>
    <w:rsid w:val="00C942B0"/>
    <w:rsid w:val="00D37EF2"/>
    <w:rsid w:val="00DB14E5"/>
    <w:rsid w:val="00DD0016"/>
    <w:rsid w:val="00E20840"/>
    <w:rsid w:val="00E608BE"/>
    <w:rsid w:val="00E733D1"/>
    <w:rsid w:val="00EF712C"/>
    <w:rsid w:val="00F244D0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548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18</cp:revision>
  <dcterms:created xsi:type="dcterms:W3CDTF">2025-10-23T17:12:00Z</dcterms:created>
  <dcterms:modified xsi:type="dcterms:W3CDTF">2025-11-04T16:12:00Z</dcterms:modified>
</cp:coreProperties>
</file>