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02A5E" w14:textId="77777777" w:rsidR="004107CA" w:rsidRDefault="004107CA"/>
    <w:p w14:paraId="69C464BD" w14:textId="77777777" w:rsidR="00707E60" w:rsidRDefault="00707E60"/>
    <w:p w14:paraId="7C41B434" w14:textId="77777777" w:rsidR="00707E60" w:rsidRDefault="00707E60"/>
    <w:p w14:paraId="65123F46" w14:textId="77777777" w:rsidR="00707E60" w:rsidRDefault="00707E60"/>
    <w:p w14:paraId="4234CDFE" w14:textId="77777777" w:rsidR="00707E60" w:rsidRDefault="00707E60"/>
    <w:p w14:paraId="7411AD1A" w14:textId="73CF28AB" w:rsidR="00707E60" w:rsidRDefault="00707E60"/>
    <w:p w14:paraId="33230097" w14:textId="669EDDD4" w:rsidR="00707E60" w:rsidRDefault="00707E60" w:rsidP="00707E60">
      <w:pPr>
        <w:jc w:val="center"/>
      </w:pPr>
    </w:p>
    <w:p w14:paraId="524EFE21" w14:textId="331BC161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06CCB526" w14:textId="4AD669AC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  <w:r w:rsidRPr="001B18EF">
        <w:rPr>
          <w:noProof/>
          <w:lang w:eastAsia="es-CO"/>
        </w:rPr>
        <w:drawing>
          <wp:anchor distT="0" distB="0" distL="114300" distR="114300" simplePos="0" relativeHeight="251659264" behindDoc="0" locked="0" layoutInCell="1" allowOverlap="1" wp14:anchorId="2C40115D" wp14:editId="0FAB8187">
            <wp:simplePos x="0" y="0"/>
            <wp:positionH relativeFrom="column">
              <wp:posOffset>1302151</wp:posOffset>
            </wp:positionH>
            <wp:positionV relativeFrom="paragraph">
              <wp:posOffset>166370</wp:posOffset>
            </wp:positionV>
            <wp:extent cx="3268980" cy="942975"/>
            <wp:effectExtent l="0" t="0" r="0" b="0"/>
            <wp:wrapSquare wrapText="bothSides"/>
            <wp:docPr id="719188107" name="Picture 9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9291" name="Picture 9" descr="A black and grey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0E95E" w14:textId="0BCC274E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CC9BDC5" w14:textId="2A351149" w:rsidR="00707E60" w:rsidRDefault="00707E60" w:rsidP="00707E60">
      <w:pPr>
        <w:pStyle w:val="NoSpacing"/>
        <w:jc w:val="center"/>
        <w:rPr>
          <w:b/>
          <w:bCs/>
          <w:color w:val="002060"/>
          <w:sz w:val="56"/>
          <w:szCs w:val="56"/>
        </w:rPr>
      </w:pPr>
    </w:p>
    <w:p w14:paraId="54E972D6" w14:textId="77777777" w:rsidR="00DD0016" w:rsidRDefault="00DD0016" w:rsidP="00DD0016">
      <w:pPr>
        <w:pStyle w:val="NoSpacing"/>
        <w:jc w:val="center"/>
        <w:rPr>
          <w:b/>
          <w:bCs/>
          <w:color w:val="000000" w:themeColor="text1"/>
          <w:sz w:val="56"/>
          <w:szCs w:val="56"/>
        </w:rPr>
      </w:pPr>
      <w:r w:rsidRPr="00AB4389">
        <w:rPr>
          <w:b/>
          <w:bCs/>
          <w:color w:val="000000" w:themeColor="text1"/>
          <w:sz w:val="56"/>
          <w:szCs w:val="56"/>
        </w:rPr>
        <w:t>Análisis Jurídico de Estatuto Tributario</w:t>
      </w:r>
    </w:p>
    <w:p w14:paraId="68B285CD" w14:textId="77777777" w:rsidR="00707E60" w:rsidRPr="00707E60" w:rsidRDefault="00707E60" w:rsidP="00707E60">
      <w:pPr>
        <w:pStyle w:val="NoSpacing"/>
        <w:jc w:val="center"/>
        <w:rPr>
          <w:color w:val="000000" w:themeColor="text1"/>
          <w:sz w:val="72"/>
          <w:szCs w:val="72"/>
        </w:rPr>
      </w:pPr>
    </w:p>
    <w:p w14:paraId="2FE843B9" w14:textId="39B4B135" w:rsidR="00707E60" w:rsidRPr="00707E60" w:rsidRDefault="00707E60" w:rsidP="00707E60">
      <w:pPr>
        <w:pStyle w:val="NoSpacing"/>
        <w:jc w:val="center"/>
        <w:rPr>
          <w:color w:val="000000" w:themeColor="text1"/>
          <w:sz w:val="44"/>
          <w:szCs w:val="44"/>
        </w:rPr>
      </w:pPr>
      <w:r w:rsidRPr="00707E60">
        <w:rPr>
          <w:color w:val="000000" w:themeColor="text1"/>
          <w:sz w:val="44"/>
          <w:szCs w:val="44"/>
        </w:rPr>
        <w:t xml:space="preserve">Municipio: </w:t>
      </w:r>
      <w:r w:rsidR="00D74E2D">
        <w:rPr>
          <w:color w:val="000000" w:themeColor="text1"/>
          <w:sz w:val="44"/>
          <w:szCs w:val="44"/>
        </w:rPr>
        <w:t>Zaragoza</w:t>
      </w:r>
    </w:p>
    <w:p w14:paraId="3460615A" w14:textId="77777777" w:rsidR="00707E60" w:rsidRPr="00707E60" w:rsidRDefault="00707E60"/>
    <w:p w14:paraId="0107F43B" w14:textId="77777777" w:rsidR="00707E60" w:rsidRDefault="00707E60"/>
    <w:p w14:paraId="6154161F" w14:textId="77777777" w:rsidR="00707E60" w:rsidRDefault="00707E60"/>
    <w:p w14:paraId="7789B689" w14:textId="77777777" w:rsidR="00707E60" w:rsidRDefault="00707E60"/>
    <w:p w14:paraId="422FC476" w14:textId="77777777" w:rsidR="00707E60" w:rsidRDefault="00707E60"/>
    <w:p w14:paraId="74370256" w14:textId="77777777" w:rsidR="00707E60" w:rsidRDefault="00707E60"/>
    <w:p w14:paraId="25496B82" w14:textId="77777777" w:rsidR="00707E60" w:rsidRDefault="00707E60"/>
    <w:p w14:paraId="0E10EFE4" w14:textId="77777777" w:rsidR="00707E60" w:rsidRDefault="00707E60"/>
    <w:p w14:paraId="5C9DCB25" w14:textId="77777777" w:rsidR="00707E60" w:rsidRDefault="00707E60"/>
    <w:p w14:paraId="1D823A54" w14:textId="77777777" w:rsidR="008D50B9" w:rsidRPr="008D50B9" w:rsidRDefault="008D50B9" w:rsidP="008D50B9">
      <w:pPr>
        <w:spacing w:line="360" w:lineRule="auto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lastRenderedPageBreak/>
        <w:t>El estado actual de su normatividad tributaria se establece en el Acuerdo 18 de 2024.</w:t>
      </w:r>
    </w:p>
    <w:p w14:paraId="280476AB" w14:textId="77777777" w:rsidR="008D50B9" w:rsidRPr="008D50B9" w:rsidRDefault="008D50B9" w:rsidP="008D50B9">
      <w:pPr>
        <w:spacing w:line="360" w:lineRule="auto"/>
        <w:rPr>
          <w:rFonts w:ascii="Aptos" w:hAnsi="Aptos" w:cs="Times New Roman"/>
          <w:b/>
          <w:bCs/>
          <w:sz w:val="32"/>
          <w:szCs w:val="32"/>
        </w:rPr>
      </w:pPr>
      <w:r w:rsidRPr="008D50B9">
        <w:rPr>
          <w:rFonts w:ascii="Aptos" w:hAnsi="Aptos" w:cs="Times New Roman"/>
          <w:b/>
          <w:bCs/>
          <w:sz w:val="32"/>
          <w:szCs w:val="32"/>
        </w:rPr>
        <w:t>Hallazgos</w:t>
      </w:r>
    </w:p>
    <w:p w14:paraId="4E4942E8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  <w:b/>
          <w:bCs/>
        </w:rPr>
      </w:pPr>
      <w:r w:rsidRPr="008D50B9">
        <w:rPr>
          <w:rFonts w:ascii="Aptos" w:hAnsi="Aptos" w:cs="Times New Roman"/>
        </w:rPr>
        <w:t>La tabla de destinos económicos no contempla las modificaciones introducidas por la Resolución 2025060163216 del 14 de marzo de 2025, que redefine los destinos en Antioquia conforme al modelo LADM-COL v4.1. Omitir estos destinos deja sin tarifa a nuevas categorías y expone al Municipio a pérdidas por falta de un elemento esencial del tributo.</w:t>
      </w:r>
    </w:p>
    <w:p w14:paraId="6B988E61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Se regulan tarifas entre 5‰ y 16‰; para terrenos urbanizables no urbanizados y urbanizados no edificados se permite hasta 33‰. La matriz usa rangos en UVT para habitacional urbano y rural; es positivo mantener UVT como unidad de referencia.</w:t>
      </w:r>
    </w:p>
    <w:p w14:paraId="569AFFBF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La regla para predios con diversas destinaciones clasifica por actividad “predominante” (mayor área de terreno y/o construcción). Este criterio desconoce la coexistencia de usos.</w:t>
      </w:r>
    </w:p>
    <w:p w14:paraId="13521A6E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Se otorga descuento por pronto pago del 10%.</w:t>
      </w:r>
    </w:p>
    <w:p w14:paraId="4FCCB1D8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Se prevé compensación del impuesto por áreas de retiro obligatorio de vías; requiere análisis del impacto fiscal y lineamientos operativos claros para su aplicación.</w:t>
      </w:r>
    </w:p>
    <w:p w14:paraId="7ACF9B09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Régimen de bienes excluidos y de prohibido gravamen: incluye inmuebles de culto religioso, bienes de uso público y obras de infraestructura no explotadas económicamente, monumentos nacionales, predios de delegaciones extranjeras, inmuebles de organismos de socorro y bienes fiscales municipales. Se exigen requisitos de acreditación y visitas para destinación al culto; se precisa que la exclusión de otros tributos no cobija la sobretasa ambiental.</w:t>
      </w:r>
    </w:p>
    <w:p w14:paraId="097B93DF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Exenciones: se identifican ambientales (inmuebles de corporaciones autónomas destinados a conservación de hoyas, laderas, escarpas, canales y conducción de aguas; áreas de conservación de aguas, fauna y flora reglamentadas por el Concejo, con exigencia de desenglobe y certificaciones) y no ambientales (centro de bienestar del anciano; predios de juntas de acción comunal; predios destinados al manejo administrativo y operativo). Existe contradicción sobre su vigencia: se anuncian por diez años y, simultáneamente, un “mecanismo de alivio” por cinco años.</w:t>
      </w:r>
    </w:p>
    <w:p w14:paraId="64E47F31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Determinación oficial mediante sistema de facturación con mérito ejecutivo y esquema mixto; no se define con precisión el contenido mínimo del acto, el protocolo de notificación, lo que puede debilitar su ejecutividad y la defensa del contribuyente.</w:t>
      </w:r>
    </w:p>
    <w:p w14:paraId="2CF068F2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lastRenderedPageBreak/>
        <w:t>Cobro en cuatro cuotas trimestrales.</w:t>
      </w:r>
    </w:p>
    <w:p w14:paraId="1DF6E634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 xml:space="preserve">Límites al crecimiento del impuesto: se incorporan reglas diferenciadas (IPC+8 para predios actualizados, 50% para no actualizados, reglas especiales para estratos bajos y exclusiones por cambios físicos, de destino o auto estimación). </w:t>
      </w:r>
    </w:p>
    <w:p w14:paraId="23EA2E03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Sobretasa ambiental del 1,5‰ liquidada sobre el avalúo catastral; elementos del tributo definidos y recaudo en la misma factura con traslado a la corporación ambiental.</w:t>
      </w:r>
    </w:p>
    <w:p w14:paraId="69F3E9C0" w14:textId="77777777" w:rsidR="008D50B9" w:rsidRPr="008D50B9" w:rsidRDefault="008D50B9" w:rsidP="008D50B9">
      <w:pPr>
        <w:pStyle w:val="ListParagraph"/>
        <w:widowControl w:val="0"/>
        <w:numPr>
          <w:ilvl w:val="0"/>
          <w:numId w:val="17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Tratamiento especial ambiental para predios con bosques naturales o conservación/protección hídrica: el beneficio se fija “proporcional” al área protegida, (condonación del 50% al 100% del predio y escala 40%→20%, 80%→40% “y así respectivamente”), sin coordinación con otras exenciones; requiere mayor precisión.</w:t>
      </w:r>
    </w:p>
    <w:p w14:paraId="4D5B6196" w14:textId="77777777" w:rsidR="008D50B9" w:rsidRPr="008D50B9" w:rsidRDefault="008D50B9" w:rsidP="008D50B9">
      <w:pPr>
        <w:spacing w:line="240" w:lineRule="auto"/>
        <w:jc w:val="both"/>
        <w:rPr>
          <w:rFonts w:ascii="Aptos" w:hAnsi="Aptos" w:cs="Times New Roman"/>
        </w:rPr>
      </w:pPr>
    </w:p>
    <w:p w14:paraId="45BB947A" w14:textId="77777777" w:rsidR="008D50B9" w:rsidRPr="008D50B9" w:rsidRDefault="008D50B9" w:rsidP="008D50B9">
      <w:pPr>
        <w:spacing w:line="240" w:lineRule="auto"/>
        <w:jc w:val="both"/>
        <w:rPr>
          <w:rFonts w:ascii="Aptos" w:hAnsi="Aptos" w:cs="Times New Roman"/>
          <w:sz w:val="32"/>
          <w:szCs w:val="32"/>
        </w:rPr>
      </w:pPr>
      <w:r w:rsidRPr="008D50B9">
        <w:rPr>
          <w:rFonts w:ascii="Aptos" w:hAnsi="Aptos" w:cs="Times New Roman"/>
          <w:b/>
          <w:bCs/>
          <w:sz w:val="32"/>
          <w:szCs w:val="32"/>
        </w:rPr>
        <w:t>Recomendaciones</w:t>
      </w:r>
      <w:r w:rsidRPr="008D50B9">
        <w:rPr>
          <w:rFonts w:ascii="Aptos" w:hAnsi="Aptos" w:cs="Times New Roman"/>
          <w:sz w:val="32"/>
          <w:szCs w:val="32"/>
        </w:rPr>
        <w:br/>
      </w:r>
    </w:p>
    <w:p w14:paraId="483BF61E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240" w:lineRule="auto"/>
        <w:contextualSpacing w:val="0"/>
        <w:jc w:val="both"/>
        <w:rPr>
          <w:rFonts w:ascii="Aptos" w:hAnsi="Aptos" w:cs="Times New Roman"/>
          <w:b/>
          <w:bCs/>
        </w:rPr>
      </w:pPr>
      <w:r w:rsidRPr="008D50B9">
        <w:rPr>
          <w:rFonts w:ascii="Aptos" w:hAnsi="Aptos" w:cs="Times New Roman"/>
        </w:rPr>
        <w:t>Actualizar la tabla de destinos económicos conforme a la Resolución 2025060163216 para alinear integralmente el estatuto con el modelo LADM-COL v4.1 y evitar posible vacíos tarifarios.</w:t>
      </w:r>
    </w:p>
    <w:p w14:paraId="3F5DC905" w14:textId="77777777" w:rsidR="008D50B9" w:rsidRPr="008D50B9" w:rsidRDefault="008D50B9" w:rsidP="008D50B9">
      <w:pPr>
        <w:pStyle w:val="ListParagraph"/>
        <w:rPr>
          <w:rFonts w:ascii="Aptos" w:hAnsi="Aptos" w:cs="Times New Roman"/>
          <w:b/>
          <w:bCs/>
        </w:rPr>
      </w:pPr>
    </w:p>
    <w:p w14:paraId="0BF5A2C8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Sustituir el criterio de “actividad predominante” por una liquidación diferenciada por destinación económica, para reflejar usos múltiples sin sesgos.</w:t>
      </w:r>
    </w:p>
    <w:p w14:paraId="69727D97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 xml:space="preserve">Resolver la contradicción temporal de las exenciones: definir una única vigencia (cinco o diez años) </w:t>
      </w:r>
    </w:p>
    <w:p w14:paraId="6848E6C4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Separar nítidamente exenciones y prohibiciones</w:t>
      </w:r>
    </w:p>
    <w:p w14:paraId="4FC9D008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Fortalecer la determinación por factura con mérito ejecutivo: incorporar contenido mínimo del acto, protocolo de notificación (medios y constancias) y mecanismos de difusión previa y efectos claros.</w:t>
      </w:r>
    </w:p>
    <w:p w14:paraId="0C3EB327" w14:textId="77777777" w:rsidR="008D50B9" w:rsidRPr="008D50B9" w:rsidRDefault="008D50B9" w:rsidP="008D50B9">
      <w:pPr>
        <w:pStyle w:val="ListParagraph"/>
        <w:widowControl w:val="0"/>
        <w:numPr>
          <w:ilvl w:val="0"/>
          <w:numId w:val="18"/>
        </w:numPr>
        <w:spacing w:after="0" w:line="360" w:lineRule="auto"/>
        <w:contextualSpacing w:val="0"/>
        <w:jc w:val="both"/>
        <w:rPr>
          <w:rFonts w:ascii="Aptos" w:hAnsi="Aptos" w:cs="Times New Roman"/>
        </w:rPr>
      </w:pPr>
      <w:r w:rsidRPr="008D50B9">
        <w:rPr>
          <w:rFonts w:ascii="Aptos" w:hAnsi="Aptos" w:cs="Times New Roman"/>
        </w:rPr>
        <w:t>Armonizar los límites y la gradualidad con escenarios de actualización, rezago y variaciones tarifarias, y aplicar ese marco a tributos atados al impuesto predial, para evitar saltos abruptos en la carga.</w:t>
      </w:r>
    </w:p>
    <w:p w14:paraId="412E737A" w14:textId="77777777" w:rsidR="00707E60" w:rsidRDefault="00707E60"/>
    <w:p w14:paraId="59F5D9C1" w14:textId="77777777" w:rsidR="00707E60" w:rsidRDefault="00707E60"/>
    <w:p w14:paraId="39A1343E" w14:textId="77777777" w:rsidR="00707E60" w:rsidRDefault="00707E60"/>
    <w:p w14:paraId="46B394A7" w14:textId="77777777" w:rsidR="00707E60" w:rsidRDefault="00707E60"/>
    <w:p w14:paraId="19A269B2" w14:textId="77777777" w:rsidR="00707E60" w:rsidRDefault="00707E60"/>
    <w:p w14:paraId="3158B45A" w14:textId="77777777" w:rsidR="00707E60" w:rsidRDefault="00707E60"/>
    <w:p w14:paraId="43A6B5BA" w14:textId="77777777" w:rsidR="00707E60" w:rsidRDefault="00707E60"/>
    <w:sectPr w:rsidR="00707E60" w:rsidSect="00707E6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41EBE" w14:textId="77777777" w:rsidR="004775D5" w:rsidRDefault="004775D5" w:rsidP="00707E60">
      <w:pPr>
        <w:spacing w:after="0" w:line="240" w:lineRule="auto"/>
      </w:pPr>
      <w:r>
        <w:separator/>
      </w:r>
    </w:p>
  </w:endnote>
  <w:endnote w:type="continuationSeparator" w:id="0">
    <w:p w14:paraId="2B9106B9" w14:textId="77777777" w:rsidR="004775D5" w:rsidRDefault="004775D5" w:rsidP="00707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94536840"/>
      <w:docPartObj>
        <w:docPartGallery w:val="Page Numbers (Bottom of Page)"/>
        <w:docPartUnique/>
      </w:docPartObj>
    </w:sdtPr>
    <w:sdtContent>
      <w:p w14:paraId="5B7F2B64" w14:textId="68F29198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01427EE" w14:textId="77777777" w:rsidR="00707E60" w:rsidRDefault="00707E60" w:rsidP="00707E6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0755832"/>
      <w:docPartObj>
        <w:docPartGallery w:val="Page Numbers (Bottom of Page)"/>
        <w:docPartUnique/>
      </w:docPartObj>
    </w:sdtPr>
    <w:sdtContent>
      <w:p w14:paraId="4BC3D90B" w14:textId="5F218685" w:rsidR="00707E60" w:rsidRDefault="00707E60" w:rsidP="000334B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C2F8937" w14:textId="77777777" w:rsidR="00707E60" w:rsidRDefault="00707E60" w:rsidP="00707E6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FD0950" w14:textId="77777777" w:rsidR="004775D5" w:rsidRDefault="004775D5" w:rsidP="00707E60">
      <w:pPr>
        <w:spacing w:after="0" w:line="240" w:lineRule="auto"/>
      </w:pPr>
      <w:r>
        <w:separator/>
      </w:r>
    </w:p>
  </w:footnote>
  <w:footnote w:type="continuationSeparator" w:id="0">
    <w:p w14:paraId="757E5347" w14:textId="77777777" w:rsidR="004775D5" w:rsidRDefault="004775D5" w:rsidP="00707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EA336" w14:textId="7FD62BEC" w:rsidR="00707E60" w:rsidRDefault="00707E60" w:rsidP="00707E60">
    <w:pPr>
      <w:pStyle w:val="Header"/>
    </w:pPr>
    <w:r w:rsidRPr="006F3507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9CC783E" wp14:editId="59162596">
              <wp:simplePos x="0" y="0"/>
              <wp:positionH relativeFrom="column">
                <wp:posOffset>38500</wp:posOffset>
              </wp:positionH>
              <wp:positionV relativeFrom="paragraph">
                <wp:posOffset>-112696</wp:posOffset>
              </wp:positionV>
              <wp:extent cx="3484345" cy="551145"/>
              <wp:effectExtent l="0" t="0" r="0" b="0"/>
              <wp:wrapNone/>
              <wp:docPr id="4" name="CuadroTexto 3">
                <a:extLst xmlns:a="http://schemas.openxmlformats.org/drawingml/2006/main">
                  <a:ext uri="{FF2B5EF4-FFF2-40B4-BE49-F238E27FC236}">
                    <a16:creationId xmlns:a16="http://schemas.microsoft.com/office/drawing/2014/main" id="{0BAB22FA-B3FF-7701-F2F6-CC0537A91E39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84345" cy="5511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5AB46E" w14:textId="77777777" w:rsidR="00DD0016" w:rsidRPr="00327CFA" w:rsidRDefault="00DD0016" w:rsidP="00DD0016">
                          <w:pPr>
                            <w:pStyle w:val="NoSpacing"/>
                            <w:rPr>
                              <w:b/>
                              <w:bCs/>
                              <w:color w:val="000000" w:themeColor="text1"/>
                            </w:rPr>
                          </w:pPr>
                          <w:r w:rsidRPr="00AB4389">
                            <w:rPr>
                              <w:b/>
                              <w:bCs/>
                              <w:color w:val="000000" w:themeColor="text1"/>
                            </w:rPr>
                            <w:t>Análisis Jurídico de Estatuto Tributario</w:t>
                          </w:r>
                        </w:p>
                        <w:p w14:paraId="55DF06F3" w14:textId="2EAF21AC" w:rsidR="00707E60" w:rsidRPr="00707E60" w:rsidRDefault="00707E60" w:rsidP="00707E60">
                          <w:pPr>
                            <w:pStyle w:val="NoSpacing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707E6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Ficha Municipio</w:t>
                          </w:r>
                          <w:r w:rsidR="00723620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 xml:space="preserve"> </w:t>
                          </w:r>
                          <w:r w:rsidR="00D74E2D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t>Zaragoza</w:t>
                          </w:r>
                        </w:p>
                      </w:txbxContent>
                    </wps:txbx>
                    <wps:bodyPr wrap="square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CC783E" id="_x0000_t202" coordsize="21600,21600" o:spt="202" path="m,l,21600r21600,l21600,xe">
              <v:stroke joinstyle="miter"/>
              <v:path gradientshapeok="t" o:connecttype="rect"/>
            </v:shapetype>
            <v:shape id="CuadroTexto 3" o:spid="_x0000_s1026" type="#_x0000_t202" style="position:absolute;margin-left:3.05pt;margin-top:-8.85pt;width:274.35pt;height:4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" filled="f" stroked="f">
              <v:textbox>
                <w:txbxContent>
                  <w:p w14:paraId="745AB46E" w14:textId="77777777" w:rsidR="00DD0016" w:rsidRPr="00327CFA" w:rsidRDefault="00DD0016" w:rsidP="00DD0016">
                    <w:pPr>
                      <w:pStyle w:val="NoSpacing"/>
                      <w:rPr>
                        <w:b/>
                        <w:bCs/>
                        <w:color w:val="000000" w:themeColor="text1"/>
                      </w:rPr>
                    </w:pPr>
                    <w:r w:rsidRPr="00AB4389">
                      <w:rPr>
                        <w:b/>
                        <w:bCs/>
                        <w:color w:val="000000" w:themeColor="text1"/>
                      </w:rPr>
                      <w:t>Análisis Jurídico de Estatuto Tributario</w:t>
                    </w:r>
                  </w:p>
                  <w:p w14:paraId="55DF06F3" w14:textId="2EAF21AC" w:rsidR="00707E60" w:rsidRPr="00707E60" w:rsidRDefault="00707E60" w:rsidP="00707E60">
                    <w:pPr>
                      <w:pStyle w:val="NoSpacing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707E60">
                      <w:rPr>
                        <w:color w:val="000000" w:themeColor="text1"/>
                        <w:sz w:val="28"/>
                        <w:szCs w:val="28"/>
                      </w:rPr>
                      <w:t>Ficha Municipio</w:t>
                    </w:r>
                    <w:r w:rsidR="00723620">
                      <w:rPr>
                        <w:color w:val="000000" w:themeColor="text1"/>
                        <w:sz w:val="28"/>
                        <w:szCs w:val="28"/>
                      </w:rPr>
                      <w:t xml:space="preserve"> </w:t>
                    </w:r>
                    <w:r w:rsidR="00D74E2D">
                      <w:rPr>
                        <w:color w:val="000000" w:themeColor="text1"/>
                        <w:sz w:val="28"/>
                        <w:szCs w:val="28"/>
                      </w:rPr>
                      <w:t>Zaragoza</w:t>
                    </w:r>
                  </w:p>
                </w:txbxContent>
              </v:textbox>
            </v:shape>
          </w:pict>
        </mc:Fallback>
      </mc:AlternateContent>
    </w:r>
    <w:r w:rsidRPr="001B18EF"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015C3FBD" wp14:editId="7BF962BD">
          <wp:simplePos x="0" y="0"/>
          <wp:positionH relativeFrom="column">
            <wp:posOffset>3844925</wp:posOffset>
          </wp:positionH>
          <wp:positionV relativeFrom="paragraph">
            <wp:posOffset>-174224</wp:posOffset>
          </wp:positionV>
          <wp:extent cx="2125345" cy="612775"/>
          <wp:effectExtent l="0" t="0" r="0" b="0"/>
          <wp:wrapSquare wrapText="bothSides"/>
          <wp:docPr id="866569291" name="Picture 9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569291" name="Picture 9" descr="A black and grey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5345" cy="612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253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929F1"/>
    <w:multiLevelType w:val="hybridMultilevel"/>
    <w:tmpl w:val="882EE7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4205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656B6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801299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01DCD"/>
    <w:multiLevelType w:val="hybridMultilevel"/>
    <w:tmpl w:val="0C5EE2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7385E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023C47"/>
    <w:multiLevelType w:val="hybridMultilevel"/>
    <w:tmpl w:val="7FE05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AC1018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86174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F91FF4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27BE5"/>
    <w:multiLevelType w:val="hybridMultilevel"/>
    <w:tmpl w:val="B8A64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80CED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C62DA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D71B67"/>
    <w:multiLevelType w:val="multilevel"/>
    <w:tmpl w:val="BBF079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F2431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2D16B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E011F3"/>
    <w:multiLevelType w:val="multilevel"/>
    <w:tmpl w:val="C63ECC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7704">
    <w:abstractNumId w:val="7"/>
  </w:num>
  <w:num w:numId="2" w16cid:durableId="1017347282">
    <w:abstractNumId w:val="11"/>
  </w:num>
  <w:num w:numId="3" w16cid:durableId="44450645">
    <w:abstractNumId w:val="14"/>
  </w:num>
  <w:num w:numId="4" w16cid:durableId="1953855267">
    <w:abstractNumId w:val="0"/>
  </w:num>
  <w:num w:numId="5" w16cid:durableId="279457733">
    <w:abstractNumId w:val="8"/>
  </w:num>
  <w:num w:numId="6" w16cid:durableId="829055416">
    <w:abstractNumId w:val="2"/>
  </w:num>
  <w:num w:numId="7" w16cid:durableId="1974747392">
    <w:abstractNumId w:val="6"/>
  </w:num>
  <w:num w:numId="8" w16cid:durableId="1342120387">
    <w:abstractNumId w:val="13"/>
  </w:num>
  <w:num w:numId="9" w16cid:durableId="350257001">
    <w:abstractNumId w:val="4"/>
  </w:num>
  <w:num w:numId="10" w16cid:durableId="1078140204">
    <w:abstractNumId w:val="9"/>
  </w:num>
  <w:num w:numId="11" w16cid:durableId="1792938771">
    <w:abstractNumId w:val="10"/>
  </w:num>
  <w:num w:numId="12" w16cid:durableId="1526560268">
    <w:abstractNumId w:val="15"/>
  </w:num>
  <w:num w:numId="13" w16cid:durableId="684139451">
    <w:abstractNumId w:val="16"/>
  </w:num>
  <w:num w:numId="14" w16cid:durableId="2066485375">
    <w:abstractNumId w:val="17"/>
  </w:num>
  <w:num w:numId="15" w16cid:durableId="1048799774">
    <w:abstractNumId w:val="3"/>
  </w:num>
  <w:num w:numId="16" w16cid:durableId="763765178">
    <w:abstractNumId w:val="12"/>
  </w:num>
  <w:num w:numId="17" w16cid:durableId="1367214310">
    <w:abstractNumId w:val="5"/>
  </w:num>
  <w:num w:numId="18" w16cid:durableId="1027944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E60"/>
    <w:rsid w:val="00042DD7"/>
    <w:rsid w:val="00084B98"/>
    <w:rsid w:val="00120797"/>
    <w:rsid w:val="00134527"/>
    <w:rsid w:val="00211E44"/>
    <w:rsid w:val="0023618C"/>
    <w:rsid w:val="0031580C"/>
    <w:rsid w:val="003650D0"/>
    <w:rsid w:val="003A7CEA"/>
    <w:rsid w:val="003E2241"/>
    <w:rsid w:val="004107CA"/>
    <w:rsid w:val="004775D5"/>
    <w:rsid w:val="005422DF"/>
    <w:rsid w:val="005C3FCA"/>
    <w:rsid w:val="005D08ED"/>
    <w:rsid w:val="005F7A75"/>
    <w:rsid w:val="00605B4C"/>
    <w:rsid w:val="00665846"/>
    <w:rsid w:val="006A249B"/>
    <w:rsid w:val="00701CC9"/>
    <w:rsid w:val="00707E60"/>
    <w:rsid w:val="00723620"/>
    <w:rsid w:val="00813F67"/>
    <w:rsid w:val="00844CC8"/>
    <w:rsid w:val="00845F02"/>
    <w:rsid w:val="00855468"/>
    <w:rsid w:val="008D50B9"/>
    <w:rsid w:val="009D1788"/>
    <w:rsid w:val="009D1F9E"/>
    <w:rsid w:val="00A27409"/>
    <w:rsid w:val="00A53B01"/>
    <w:rsid w:val="00A55C9A"/>
    <w:rsid w:val="00A60686"/>
    <w:rsid w:val="00A96461"/>
    <w:rsid w:val="00AA7DD4"/>
    <w:rsid w:val="00B9278F"/>
    <w:rsid w:val="00B9597A"/>
    <w:rsid w:val="00BC7035"/>
    <w:rsid w:val="00BE3801"/>
    <w:rsid w:val="00C04706"/>
    <w:rsid w:val="00C24423"/>
    <w:rsid w:val="00C3440A"/>
    <w:rsid w:val="00C4509C"/>
    <w:rsid w:val="00C942B0"/>
    <w:rsid w:val="00D37EF2"/>
    <w:rsid w:val="00D74E2D"/>
    <w:rsid w:val="00DB14E5"/>
    <w:rsid w:val="00DD0016"/>
    <w:rsid w:val="00E20840"/>
    <w:rsid w:val="00E608BE"/>
    <w:rsid w:val="00F27231"/>
    <w:rsid w:val="00F65205"/>
    <w:rsid w:val="00FD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D2BB83"/>
  <w15:chartTrackingRefBased/>
  <w15:docId w15:val="{AC92E50B-06D8-7E40-8625-54C1C785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CO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E60"/>
    <w:pPr>
      <w:spacing w:after="160" w:line="259" w:lineRule="auto"/>
    </w:pPr>
    <w:rPr>
      <w:rFonts w:eastAsiaTheme="minorHAnsi"/>
      <w:sz w:val="22"/>
      <w:szCs w:val="22"/>
      <w:lang w:val="es-CO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E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E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E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E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E6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E6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E60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E60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E60"/>
    <w:rPr>
      <w:rFonts w:eastAsiaTheme="majorEastAsia" w:cstheme="majorBidi"/>
      <w:color w:val="0F4761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E60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E60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E60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E60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Subtitle"/>
    <w:next w:val="Normal"/>
    <w:link w:val="TitleChar"/>
    <w:uiPriority w:val="10"/>
    <w:qFormat/>
    <w:rsid w:val="00AA7DD4"/>
    <w:pPr>
      <w:spacing w:line="360" w:lineRule="auto"/>
      <w:ind w:left="1080" w:hanging="720"/>
      <w:contextualSpacing/>
      <w:jc w:val="both"/>
    </w:pPr>
    <w:rPr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AA7DD4"/>
    <w:rPr>
      <w:rFonts w:eastAsiaTheme="majorEastAsia" w:cstheme="majorBidi"/>
      <w:b/>
      <w:bCs/>
      <w:color w:val="000000" w:themeColor="text1"/>
      <w:spacing w:val="15"/>
      <w:sz w:val="32"/>
      <w:szCs w:val="32"/>
      <w:lang w:val="es-CO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E60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707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E60"/>
    <w:rPr>
      <w:i/>
      <w:iCs/>
      <w:color w:val="404040" w:themeColor="text1" w:themeTint="BF"/>
      <w:lang w:val="es-ES"/>
    </w:rPr>
  </w:style>
  <w:style w:type="paragraph" w:styleId="ListParagraph">
    <w:name w:val="List Paragraph"/>
    <w:aliases w:val="Numerado informes,Bibliografía Tesis,Figuras,parrafo,Bolita,Viñeta 4ta"/>
    <w:basedOn w:val="Normal"/>
    <w:link w:val="ListParagraphChar"/>
    <w:uiPriority w:val="34"/>
    <w:qFormat/>
    <w:rsid w:val="00707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E60"/>
    <w:rPr>
      <w:i/>
      <w:iCs/>
      <w:color w:val="0F4761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707E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E60"/>
    <w:rPr>
      <w:lang w:val="es-ES"/>
    </w:rPr>
  </w:style>
  <w:style w:type="paragraph" w:styleId="Footer">
    <w:name w:val="footer"/>
    <w:basedOn w:val="Normal"/>
    <w:link w:val="FooterChar"/>
    <w:uiPriority w:val="99"/>
    <w:unhideWhenUsed/>
    <w:rsid w:val="00707E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E60"/>
    <w:rPr>
      <w:lang w:val="es-ES"/>
    </w:rPr>
  </w:style>
  <w:style w:type="paragraph" w:styleId="NoSpacing">
    <w:name w:val="No Spacing"/>
    <w:uiPriority w:val="1"/>
    <w:qFormat/>
    <w:rsid w:val="00707E60"/>
    <w:rPr>
      <w:rFonts w:eastAsiaTheme="minorHAnsi"/>
      <w:kern w:val="2"/>
      <w:sz w:val="22"/>
      <w:szCs w:val="22"/>
      <w:lang w:val="es-CO" w:eastAsia="en-US"/>
      <w14:ligatures w14:val="standardContextual"/>
    </w:rPr>
  </w:style>
  <w:style w:type="character" w:customStyle="1" w:styleId="ListParagraphChar">
    <w:name w:val="List Paragraph Char"/>
    <w:aliases w:val="Numerado informes Char,Bibliografía Tesis Char,Figuras Char,parrafo Char,Bolita Char,Viñeta 4ta Char"/>
    <w:link w:val="ListParagraph"/>
    <w:uiPriority w:val="34"/>
    <w:locked/>
    <w:rsid w:val="00707E60"/>
    <w:rPr>
      <w:lang w:val="es-ES"/>
    </w:rPr>
  </w:style>
  <w:style w:type="character" w:styleId="PageNumber">
    <w:name w:val="page number"/>
    <w:basedOn w:val="DefaultParagraphFont"/>
    <w:uiPriority w:val="99"/>
    <w:semiHidden/>
    <w:unhideWhenUsed/>
    <w:rsid w:val="00707E60"/>
  </w:style>
  <w:style w:type="paragraph" w:customStyle="1" w:styleId="Style1">
    <w:name w:val="Style1"/>
    <w:basedOn w:val="Normal"/>
    <w:qFormat/>
    <w:rsid w:val="00AA7DD4"/>
    <w:pPr>
      <w:spacing w:line="360" w:lineRule="auto"/>
      <w:ind w:left="720" w:hanging="360"/>
      <w:jc w:val="both"/>
    </w:pPr>
    <w:rPr>
      <w:rFonts w:ascii="Aptos" w:hAnsi="Apto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Herazo Castelblanco</dc:creator>
  <cp:keywords/>
  <dc:description/>
  <cp:lastModifiedBy>Ana Sofia Herazo Castelblanco</cp:lastModifiedBy>
  <cp:revision>12</cp:revision>
  <dcterms:created xsi:type="dcterms:W3CDTF">2025-10-23T17:12:00Z</dcterms:created>
  <dcterms:modified xsi:type="dcterms:W3CDTF">2025-11-12T12:33:00Z</dcterms:modified>
</cp:coreProperties>
</file>