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29057E8F"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A407A7">
        <w:rPr>
          <w:color w:val="000000" w:themeColor="text1"/>
          <w:sz w:val="44"/>
          <w:szCs w:val="44"/>
        </w:rPr>
        <w:t>Amalfi</w:t>
      </w:r>
      <w:r w:rsidRPr="00707E60">
        <w:rPr>
          <w:color w:val="000000" w:themeColor="text1"/>
          <w:sz w:val="44"/>
          <w:szCs w:val="44"/>
        </w:rPr>
        <w:t xml:space="preserve"> </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12E26568" w14:textId="77777777" w:rsidR="00A407A7" w:rsidRPr="00A407A7" w:rsidRDefault="00A407A7" w:rsidP="00A407A7">
      <w:pPr>
        <w:spacing w:line="360" w:lineRule="auto"/>
        <w:jc w:val="both"/>
        <w:rPr>
          <w:rFonts w:ascii="Aptos" w:hAnsi="Aptos" w:cs="Times New Roman"/>
        </w:rPr>
      </w:pPr>
      <w:r w:rsidRPr="00A407A7">
        <w:rPr>
          <w:rFonts w:ascii="Aptos" w:hAnsi="Aptos" w:cs="Times New Roman"/>
        </w:rPr>
        <w:lastRenderedPageBreak/>
        <w:t>El estado actual de su normatividad tributaria se establece en el Acuerdo 021 de 2020, modificado por los Acuerdos 005 de 2021 y 014 de 2021.</w:t>
      </w:r>
    </w:p>
    <w:p w14:paraId="1258FD1B" w14:textId="77777777" w:rsidR="00A407A7" w:rsidRPr="00A407A7" w:rsidRDefault="00A407A7" w:rsidP="00A407A7">
      <w:pPr>
        <w:spacing w:line="360" w:lineRule="auto"/>
        <w:jc w:val="both"/>
        <w:rPr>
          <w:rFonts w:ascii="Aptos" w:hAnsi="Aptos" w:cs="Times New Roman"/>
          <w:b/>
          <w:bCs/>
          <w:sz w:val="32"/>
          <w:szCs w:val="32"/>
        </w:rPr>
      </w:pPr>
      <w:r w:rsidRPr="00A407A7">
        <w:rPr>
          <w:rFonts w:ascii="Aptos" w:hAnsi="Aptos" w:cs="Times New Roman"/>
          <w:b/>
          <w:bCs/>
          <w:sz w:val="32"/>
          <w:szCs w:val="32"/>
        </w:rPr>
        <w:t>Hallazgos</w:t>
      </w:r>
    </w:p>
    <w:p w14:paraId="7AF2C2BB" w14:textId="77777777" w:rsidR="00A407A7" w:rsidRPr="00A407A7" w:rsidRDefault="00A407A7" w:rsidP="00A407A7">
      <w:pPr>
        <w:numPr>
          <w:ilvl w:val="0"/>
          <w:numId w:val="7"/>
        </w:numPr>
        <w:spacing w:line="360" w:lineRule="auto"/>
        <w:jc w:val="both"/>
        <w:rPr>
          <w:rFonts w:ascii="Aptos" w:hAnsi="Aptos" w:cs="Times New Roman"/>
        </w:rPr>
      </w:pPr>
      <w:r w:rsidRPr="00A407A7">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4E257C8A" w14:textId="77777777" w:rsidR="00A407A7" w:rsidRPr="00A407A7" w:rsidRDefault="00A407A7" w:rsidP="00A407A7">
      <w:pPr>
        <w:numPr>
          <w:ilvl w:val="0"/>
          <w:numId w:val="7"/>
        </w:numPr>
        <w:spacing w:line="360" w:lineRule="auto"/>
        <w:jc w:val="both"/>
        <w:rPr>
          <w:rFonts w:ascii="Aptos" w:hAnsi="Aptos" w:cs="Times New Roman"/>
        </w:rPr>
      </w:pPr>
      <w:r w:rsidRPr="00A407A7">
        <w:rPr>
          <w:rFonts w:ascii="Aptos" w:hAnsi="Aptos" w:cs="Times New Roman"/>
        </w:rPr>
        <w:t>El Impuesto Predial Unificado se regula desde el artículo 24 y siguientes: autorización legal, carácter real, hecho generador, sujeto activo y pasivo y base gravable definida sobre avalúo catastral con sus ajustes; se adoptan límites del impuesto conforme a la Ley 1995.</w:t>
      </w:r>
    </w:p>
    <w:p w14:paraId="0F2796AC" w14:textId="77777777" w:rsidR="00A407A7" w:rsidRPr="00A407A7" w:rsidRDefault="00A407A7" w:rsidP="00A407A7">
      <w:pPr>
        <w:numPr>
          <w:ilvl w:val="0"/>
          <w:numId w:val="7"/>
        </w:numPr>
        <w:spacing w:line="360" w:lineRule="auto"/>
        <w:jc w:val="both"/>
        <w:rPr>
          <w:rFonts w:ascii="Aptos" w:hAnsi="Aptos" w:cs="Times New Roman"/>
        </w:rPr>
      </w:pPr>
      <w:r w:rsidRPr="00A407A7">
        <w:rPr>
          <w:rFonts w:ascii="Aptos" w:hAnsi="Aptos" w:cs="Times New Roman"/>
        </w:rPr>
        <w:t>El Municipio adopta bases presuntas mínimas para liquidación del IPU mediante declaración privada.</w:t>
      </w:r>
    </w:p>
    <w:p w14:paraId="7CCC0478" w14:textId="77777777" w:rsidR="00A407A7" w:rsidRPr="00A407A7" w:rsidRDefault="00A407A7" w:rsidP="00A407A7">
      <w:pPr>
        <w:numPr>
          <w:ilvl w:val="0"/>
          <w:numId w:val="7"/>
        </w:numPr>
        <w:spacing w:line="360" w:lineRule="auto"/>
        <w:jc w:val="both"/>
        <w:rPr>
          <w:rFonts w:ascii="Aptos" w:hAnsi="Aptos" w:cs="Times New Roman"/>
        </w:rPr>
      </w:pPr>
      <w:r w:rsidRPr="00A407A7">
        <w:rPr>
          <w:rFonts w:ascii="Aptos" w:hAnsi="Aptos" w:cs="Times New Roman"/>
        </w:rPr>
        <w:t>La clasificación por destinos económicos se fija con base en Catastro Departamental (Acuerdo 014 de 2021).</w:t>
      </w:r>
    </w:p>
    <w:p w14:paraId="39D47471" w14:textId="77777777" w:rsidR="00A407A7" w:rsidRPr="00A407A7" w:rsidRDefault="00A407A7" w:rsidP="00A407A7">
      <w:pPr>
        <w:numPr>
          <w:ilvl w:val="0"/>
          <w:numId w:val="7"/>
        </w:numPr>
        <w:spacing w:line="360" w:lineRule="auto"/>
        <w:jc w:val="both"/>
        <w:rPr>
          <w:rFonts w:ascii="Aptos" w:hAnsi="Aptos" w:cs="Times New Roman"/>
        </w:rPr>
      </w:pPr>
      <w:r w:rsidRPr="00A407A7">
        <w:rPr>
          <w:rFonts w:ascii="Aptos" w:hAnsi="Aptos" w:cs="Times New Roman"/>
        </w:rPr>
        <w:t>Matriz tarifaria por destinos y rangos de avalúo: tarifa mínima 5 por mil y hasta 16 por mil; tarifa especial 13 por mil para predios que forman parte de proyectos de vivienda que no han podido construirse o desarrollarse por actuaciones jurídicas (categorías: urbanizados no edificados y urbanizables no urbanizados).</w:t>
      </w:r>
    </w:p>
    <w:p w14:paraId="2683EED7" w14:textId="77777777" w:rsidR="00A407A7" w:rsidRPr="00A407A7" w:rsidRDefault="00A407A7" w:rsidP="00A407A7">
      <w:pPr>
        <w:numPr>
          <w:ilvl w:val="0"/>
          <w:numId w:val="7"/>
        </w:numPr>
        <w:spacing w:line="360" w:lineRule="auto"/>
        <w:jc w:val="both"/>
        <w:rPr>
          <w:rFonts w:ascii="Aptos" w:hAnsi="Aptos" w:cs="Times New Roman"/>
        </w:rPr>
      </w:pPr>
      <w:r w:rsidRPr="00A407A7">
        <w:rPr>
          <w:rFonts w:ascii="Aptos" w:hAnsi="Aptos" w:cs="Times New Roman"/>
        </w:rPr>
        <w:t>No se observa regulación de limitación por rezago catastral.</w:t>
      </w:r>
    </w:p>
    <w:p w14:paraId="2E6E7524" w14:textId="77777777" w:rsidR="00A407A7" w:rsidRPr="00A407A7" w:rsidRDefault="00A407A7" w:rsidP="00A407A7">
      <w:pPr>
        <w:numPr>
          <w:ilvl w:val="0"/>
          <w:numId w:val="7"/>
        </w:numPr>
        <w:spacing w:line="360" w:lineRule="auto"/>
        <w:jc w:val="both"/>
        <w:rPr>
          <w:rFonts w:ascii="Aptos" w:hAnsi="Aptos" w:cs="Times New Roman"/>
        </w:rPr>
      </w:pPr>
      <w:r w:rsidRPr="00A407A7">
        <w:rPr>
          <w:rFonts w:ascii="Aptos" w:hAnsi="Aptos" w:cs="Times New Roman"/>
        </w:rPr>
        <w:t>Determinación oficial vía factura</w:t>
      </w:r>
    </w:p>
    <w:p w14:paraId="5E90A10C" w14:textId="77777777" w:rsidR="00A407A7" w:rsidRPr="00A407A7" w:rsidRDefault="00A407A7" w:rsidP="00A407A7">
      <w:pPr>
        <w:numPr>
          <w:ilvl w:val="0"/>
          <w:numId w:val="7"/>
        </w:numPr>
        <w:spacing w:line="360" w:lineRule="auto"/>
        <w:jc w:val="both"/>
        <w:rPr>
          <w:rFonts w:ascii="Aptos" w:hAnsi="Aptos" w:cs="Times New Roman"/>
        </w:rPr>
      </w:pPr>
      <w:r w:rsidRPr="00A407A7">
        <w:rPr>
          <w:rFonts w:ascii="Aptos" w:hAnsi="Aptos" w:cs="Times New Roman"/>
        </w:rPr>
        <w:t>Descuento por pronto pago del 20 % dentro del primer trimestre facturado.</w:t>
      </w:r>
    </w:p>
    <w:p w14:paraId="6D7F2153" w14:textId="77777777" w:rsidR="00A407A7" w:rsidRPr="00A407A7" w:rsidRDefault="00A407A7" w:rsidP="00A407A7">
      <w:pPr>
        <w:numPr>
          <w:ilvl w:val="0"/>
          <w:numId w:val="7"/>
        </w:numPr>
        <w:spacing w:line="360" w:lineRule="auto"/>
        <w:jc w:val="both"/>
        <w:rPr>
          <w:rFonts w:ascii="Aptos" w:hAnsi="Aptos" w:cs="Times New Roman"/>
        </w:rPr>
      </w:pPr>
      <w:r w:rsidRPr="00A407A7">
        <w:rPr>
          <w:rFonts w:ascii="Aptos" w:hAnsi="Aptos" w:cs="Times New Roman"/>
        </w:rPr>
        <w:t xml:space="preserve">Exenciones y beneficios con falta de precisión normativa: Se prevén exenciones/beneficios para monumentos nacionales, delegaciones extranjeras e iglesias y comunidades religiosas. Para predios con más de un destino económico, el avalúo catastral para la liquidación se prorratea con base en la relación área no gravada / área total del lote. Si bien </w:t>
      </w:r>
      <w:r w:rsidRPr="00A407A7">
        <w:rPr>
          <w:rFonts w:ascii="Aptos" w:hAnsi="Aptos" w:cs="Times New Roman"/>
        </w:rPr>
        <w:lastRenderedPageBreak/>
        <w:t>se indica una vigencia de hasta cinco (5) años, no se especifican con claridad el tipo de exención aplicable, sus condiciones ni el procedimiento para su otorgamiento y control.</w:t>
      </w:r>
    </w:p>
    <w:p w14:paraId="412E506F" w14:textId="77777777" w:rsidR="00A407A7" w:rsidRPr="00A407A7" w:rsidRDefault="00A407A7" w:rsidP="00A407A7">
      <w:pPr>
        <w:numPr>
          <w:ilvl w:val="0"/>
          <w:numId w:val="7"/>
        </w:numPr>
        <w:spacing w:line="360" w:lineRule="auto"/>
        <w:jc w:val="both"/>
        <w:rPr>
          <w:rFonts w:ascii="Aptos" w:hAnsi="Aptos" w:cs="Times New Roman"/>
        </w:rPr>
      </w:pPr>
      <w:r w:rsidRPr="00A407A7">
        <w:rPr>
          <w:rFonts w:ascii="Aptos" w:hAnsi="Aptos" w:cs="Times New Roman"/>
        </w:rPr>
        <w:t>Beneficio a proyectos VIS: exención por el tiempo de duración del proyecto (desde licencia aprobada y hasta dos años después de la entrega de viviendas a beneficiarios); el texto sugiere revisar el impacto dada la tipología VIS (≤ 135 SMMLV).</w:t>
      </w:r>
    </w:p>
    <w:p w14:paraId="28D07FBA" w14:textId="77777777" w:rsidR="00A407A7" w:rsidRPr="00A407A7" w:rsidRDefault="00A407A7" w:rsidP="00A407A7">
      <w:pPr>
        <w:numPr>
          <w:ilvl w:val="0"/>
          <w:numId w:val="7"/>
        </w:numPr>
        <w:spacing w:line="360" w:lineRule="auto"/>
        <w:jc w:val="both"/>
        <w:rPr>
          <w:rFonts w:ascii="Aptos" w:hAnsi="Aptos" w:cs="Times New Roman"/>
        </w:rPr>
      </w:pPr>
      <w:r w:rsidRPr="00A407A7">
        <w:rPr>
          <w:rFonts w:ascii="Aptos" w:hAnsi="Aptos" w:cs="Times New Roman"/>
        </w:rPr>
        <w:t>Otros beneficiarios mencionados: bienestar del anciano, policía, batallones y “presiones sociales del Estado” (según enuncia el texto), así como Juntas de Acción Comunal; se genera procedimiento para acceso a estos beneficios.</w:t>
      </w:r>
    </w:p>
    <w:p w14:paraId="61C0CE65" w14:textId="77777777" w:rsidR="00A407A7" w:rsidRPr="00A407A7" w:rsidRDefault="00A407A7" w:rsidP="00A407A7">
      <w:pPr>
        <w:numPr>
          <w:ilvl w:val="0"/>
          <w:numId w:val="7"/>
        </w:numPr>
        <w:spacing w:line="360" w:lineRule="auto"/>
        <w:jc w:val="both"/>
        <w:rPr>
          <w:rFonts w:ascii="Aptos" w:hAnsi="Aptos" w:cs="Times New Roman"/>
        </w:rPr>
      </w:pPr>
      <w:r w:rsidRPr="00A407A7">
        <w:rPr>
          <w:rFonts w:ascii="Aptos" w:hAnsi="Aptos" w:cs="Times New Roman"/>
        </w:rPr>
        <w:t>Impuesto predial compensatorio de la Ley 56 de 1981</w:t>
      </w:r>
    </w:p>
    <w:p w14:paraId="3CBAF200" w14:textId="77777777" w:rsidR="00A407A7" w:rsidRPr="00A407A7" w:rsidRDefault="00A407A7" w:rsidP="00A407A7">
      <w:pPr>
        <w:numPr>
          <w:ilvl w:val="0"/>
          <w:numId w:val="7"/>
        </w:numPr>
        <w:spacing w:line="360" w:lineRule="auto"/>
        <w:jc w:val="both"/>
        <w:rPr>
          <w:rFonts w:ascii="Aptos" w:hAnsi="Aptos" w:cs="Times New Roman"/>
        </w:rPr>
      </w:pPr>
      <w:r w:rsidRPr="00A407A7">
        <w:rPr>
          <w:rFonts w:ascii="Aptos" w:hAnsi="Aptos" w:cs="Times New Roman"/>
        </w:rPr>
        <w:t>Posible pérdida de libre destinación del IPU por asignación a fondo especial: Al vincular el recaudo del Impuesto Predial Unificado (IPU) a un fondo especial para financiar programas u obras con base en estudios socioeconómicos, el IPU dejaría de constituir un ingreso corriente de libre destinación y pasaría a ser una renta de destinación específica, con afectación directa de los ICLD del municipio y eventuales impactos en su planeación y reglas fiscales.</w:t>
      </w:r>
    </w:p>
    <w:p w14:paraId="6AE2C6C2" w14:textId="77777777" w:rsidR="00A407A7" w:rsidRPr="00A407A7" w:rsidRDefault="00A407A7" w:rsidP="00A407A7">
      <w:pPr>
        <w:numPr>
          <w:ilvl w:val="0"/>
          <w:numId w:val="7"/>
        </w:numPr>
        <w:spacing w:line="360" w:lineRule="auto"/>
        <w:jc w:val="both"/>
        <w:rPr>
          <w:rFonts w:ascii="Aptos" w:hAnsi="Aptos" w:cs="Times New Roman"/>
        </w:rPr>
      </w:pPr>
      <w:r w:rsidRPr="00A407A7">
        <w:rPr>
          <w:rFonts w:ascii="Aptos" w:hAnsi="Aptos" w:cs="Times New Roman"/>
        </w:rPr>
        <w:t>Sobretasa ambiental: 1,5 por mil sobre el avalúo.</w:t>
      </w:r>
    </w:p>
    <w:p w14:paraId="18EFFBBC" w14:textId="77777777" w:rsidR="00A407A7" w:rsidRPr="00A407A7" w:rsidRDefault="00A407A7" w:rsidP="00A407A7">
      <w:pPr>
        <w:numPr>
          <w:ilvl w:val="0"/>
          <w:numId w:val="7"/>
        </w:numPr>
        <w:spacing w:line="360" w:lineRule="auto"/>
        <w:jc w:val="both"/>
        <w:rPr>
          <w:rFonts w:ascii="Aptos" w:hAnsi="Aptos" w:cs="Times New Roman"/>
        </w:rPr>
      </w:pPr>
      <w:r w:rsidRPr="00A407A7">
        <w:rPr>
          <w:rFonts w:ascii="Aptos" w:hAnsi="Aptos" w:cs="Times New Roman"/>
        </w:rPr>
        <w:t>No se identifica sobretasa bomberil sobre el IPU ni sobretasa de alumbrado público.</w:t>
      </w:r>
    </w:p>
    <w:p w14:paraId="49992D7E" w14:textId="77777777" w:rsidR="00A407A7" w:rsidRPr="00A407A7" w:rsidRDefault="00A407A7" w:rsidP="00A407A7">
      <w:pPr>
        <w:numPr>
          <w:ilvl w:val="0"/>
          <w:numId w:val="7"/>
        </w:numPr>
        <w:spacing w:line="360" w:lineRule="auto"/>
        <w:jc w:val="both"/>
        <w:rPr>
          <w:rFonts w:ascii="Aptos" w:hAnsi="Aptos" w:cs="Times New Roman"/>
        </w:rPr>
      </w:pPr>
      <w:r w:rsidRPr="00A407A7">
        <w:rPr>
          <w:rFonts w:ascii="Aptos" w:hAnsi="Aptos" w:cs="Times New Roman"/>
        </w:rPr>
        <w:t>Están exentos del Impuesto Predial Unificado los inmuebles de propiedad de la Corporación Autónoma Regional con jurisdicción en el Municipio, destinados a la conservación de hoyas, laderas, escarpas, canales y conducción de aguas, embalses, colectores de alcantarillado, tanques y plantas de purificación de aguas residuales, así como todas las áreas destinadas exclusivamente a la conservación de aguas, fauna y flora reglamentadas por el Concejo municipal.</w:t>
      </w:r>
    </w:p>
    <w:p w14:paraId="14731E95" w14:textId="77777777" w:rsidR="00A407A7" w:rsidRPr="00A407A7" w:rsidRDefault="00A407A7" w:rsidP="00A407A7">
      <w:pPr>
        <w:spacing w:line="360" w:lineRule="auto"/>
        <w:jc w:val="both"/>
        <w:rPr>
          <w:rFonts w:ascii="Aptos" w:hAnsi="Aptos" w:cs="Times New Roman"/>
          <w:b/>
          <w:bCs/>
          <w:sz w:val="32"/>
          <w:szCs w:val="32"/>
        </w:rPr>
      </w:pPr>
      <w:r w:rsidRPr="00A407A7">
        <w:rPr>
          <w:rFonts w:ascii="Aptos" w:hAnsi="Aptos" w:cs="Times New Roman"/>
          <w:b/>
          <w:bCs/>
          <w:sz w:val="32"/>
          <w:szCs w:val="32"/>
        </w:rPr>
        <w:t>Recomendaciones</w:t>
      </w:r>
    </w:p>
    <w:p w14:paraId="1F68EB82" w14:textId="77777777" w:rsidR="00A407A7" w:rsidRPr="00A407A7" w:rsidRDefault="00A407A7" w:rsidP="00A407A7">
      <w:pPr>
        <w:numPr>
          <w:ilvl w:val="0"/>
          <w:numId w:val="8"/>
        </w:numPr>
        <w:spacing w:line="360" w:lineRule="auto"/>
        <w:jc w:val="both"/>
        <w:rPr>
          <w:rFonts w:ascii="Aptos" w:hAnsi="Aptos" w:cs="Times New Roman"/>
        </w:rPr>
      </w:pPr>
      <w:r w:rsidRPr="00A407A7">
        <w:rPr>
          <w:rFonts w:ascii="Aptos" w:hAnsi="Aptos" w:cs="Times New Roman"/>
        </w:rPr>
        <w:t xml:space="preserve">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w:t>
      </w:r>
      <w:r w:rsidRPr="00A407A7">
        <w:rPr>
          <w:rFonts w:ascii="Aptos" w:hAnsi="Aptos" w:cs="Times New Roman"/>
        </w:rPr>
        <w:lastRenderedPageBreak/>
        <w:t>que todos los destinos contemplados en el modelo LADM-COL versión 4.1, cuenten con una tarifa definida, evitando la pérdida de ingresos fiscales.</w:t>
      </w:r>
    </w:p>
    <w:p w14:paraId="171FA89B" w14:textId="77777777" w:rsidR="00A407A7" w:rsidRPr="00A407A7" w:rsidRDefault="00A407A7" w:rsidP="00A407A7">
      <w:pPr>
        <w:numPr>
          <w:ilvl w:val="0"/>
          <w:numId w:val="8"/>
        </w:numPr>
        <w:spacing w:line="360" w:lineRule="auto"/>
        <w:jc w:val="both"/>
        <w:rPr>
          <w:rFonts w:ascii="Aptos" w:hAnsi="Aptos" w:cs="Times New Roman"/>
        </w:rPr>
      </w:pPr>
      <w:r w:rsidRPr="00A407A7">
        <w:rPr>
          <w:rFonts w:ascii="Aptos" w:hAnsi="Aptos" w:cs="Times New Roman"/>
        </w:rPr>
        <w:t>Actualizar la base gravable/procedimientos catastrales y referencias técnicas para que recojan la Resolución 1040 de 2023, en línea con lo ya indicado en el propio texto.</w:t>
      </w:r>
    </w:p>
    <w:p w14:paraId="3493F5A3" w14:textId="77777777" w:rsidR="00A407A7" w:rsidRPr="00A407A7" w:rsidRDefault="00A407A7" w:rsidP="00A407A7">
      <w:pPr>
        <w:numPr>
          <w:ilvl w:val="0"/>
          <w:numId w:val="8"/>
        </w:numPr>
        <w:spacing w:line="360" w:lineRule="auto"/>
        <w:jc w:val="both"/>
        <w:rPr>
          <w:rFonts w:ascii="Aptos" w:hAnsi="Aptos" w:cs="Times New Roman"/>
        </w:rPr>
      </w:pPr>
      <w:r w:rsidRPr="00A407A7">
        <w:rPr>
          <w:rFonts w:ascii="Aptos" w:hAnsi="Aptos" w:cs="Times New Roman"/>
        </w:rPr>
        <w:t>Definir límites y reglas de gradualidad por rezago catastral, estableciendo topes anuales, metodología de aplicación y régimen de transición, dado que el texto indica ausencia de regulación sobre rezago.</w:t>
      </w:r>
    </w:p>
    <w:p w14:paraId="2B4331F4" w14:textId="77777777" w:rsidR="00A407A7" w:rsidRPr="00A407A7" w:rsidRDefault="00A407A7" w:rsidP="00A407A7">
      <w:pPr>
        <w:numPr>
          <w:ilvl w:val="0"/>
          <w:numId w:val="8"/>
        </w:numPr>
        <w:spacing w:line="360" w:lineRule="auto"/>
        <w:jc w:val="both"/>
        <w:rPr>
          <w:rFonts w:ascii="Aptos" w:hAnsi="Aptos" w:cs="Times New Roman"/>
        </w:rPr>
      </w:pPr>
      <w:r w:rsidRPr="00A407A7">
        <w:rPr>
          <w:rFonts w:ascii="Aptos" w:hAnsi="Aptos" w:cs="Times New Roman"/>
        </w:rPr>
        <w:t>Precisar el diseño y procedimiento de las bases presuntas mínimas mediante declaración privada (supuestos, verificación, soportes, efectos en la liquidación).</w:t>
      </w:r>
    </w:p>
    <w:p w14:paraId="4BE018E9" w14:textId="77777777" w:rsidR="00A407A7" w:rsidRPr="00A407A7" w:rsidRDefault="00A407A7" w:rsidP="00A407A7">
      <w:pPr>
        <w:numPr>
          <w:ilvl w:val="0"/>
          <w:numId w:val="8"/>
        </w:numPr>
        <w:spacing w:line="360" w:lineRule="auto"/>
        <w:jc w:val="both"/>
        <w:rPr>
          <w:rFonts w:ascii="Aptos" w:hAnsi="Aptos" w:cs="Times New Roman"/>
        </w:rPr>
      </w:pPr>
      <w:r w:rsidRPr="00A407A7">
        <w:rPr>
          <w:rFonts w:ascii="Aptos" w:hAnsi="Aptos" w:cs="Times New Roman"/>
        </w:rPr>
        <w:t>Aclarar el alcance de la tarifa especial del 13 por mil (categorías involucradas, condiciones de aplicación y término), y armonizar su interacción con la matriz por rangos.</w:t>
      </w:r>
    </w:p>
    <w:p w14:paraId="6F28701E" w14:textId="77777777" w:rsidR="00A407A7" w:rsidRPr="00A407A7" w:rsidRDefault="00A407A7" w:rsidP="00A407A7">
      <w:pPr>
        <w:numPr>
          <w:ilvl w:val="0"/>
          <w:numId w:val="8"/>
        </w:numPr>
        <w:spacing w:line="360" w:lineRule="auto"/>
        <w:jc w:val="both"/>
        <w:rPr>
          <w:rFonts w:ascii="Aptos" w:hAnsi="Aptos" w:cs="Times New Roman"/>
        </w:rPr>
      </w:pPr>
      <w:r w:rsidRPr="00A407A7">
        <w:rPr>
          <w:rFonts w:ascii="Aptos" w:hAnsi="Aptos" w:cs="Times New Roman"/>
        </w:rPr>
        <w:t>Clarificar y reglamentar el régimen de exenciones/beneficios: Para cada categoría (monumentos nacionales, delegaciones extranjeras, iglesias/comunidades religiosas), definir el tipo de beneficio, requisitos de acceso, vigencia (hasta 5 años), procedimiento de otorgamiento/renovación y mecanismos de verificación y control. Precisar el método de prorrata del avalúo en predios con múltiples destinos (fórmula, soportes exigibles y ejemplos de aplicación) a fin de evitar ambigüedades en la liquidación y garantizar seguridad jurídica.</w:t>
      </w:r>
    </w:p>
    <w:p w14:paraId="7D62280E" w14:textId="77777777" w:rsidR="00A407A7" w:rsidRPr="00A407A7" w:rsidRDefault="00A407A7" w:rsidP="00A407A7">
      <w:pPr>
        <w:numPr>
          <w:ilvl w:val="0"/>
          <w:numId w:val="8"/>
        </w:numPr>
        <w:spacing w:line="360" w:lineRule="auto"/>
        <w:jc w:val="both"/>
        <w:rPr>
          <w:rFonts w:ascii="Aptos" w:hAnsi="Aptos" w:cs="Times New Roman"/>
        </w:rPr>
      </w:pPr>
      <w:r w:rsidRPr="00A407A7">
        <w:rPr>
          <w:rFonts w:ascii="Aptos" w:hAnsi="Aptos" w:cs="Times New Roman"/>
        </w:rPr>
        <w:t>Revisar la conveniencia fiscal y normativa de la asignación específica del IPU: Evaluar de manera integral si la finalidad es que el IPU efectivamente pierda su carácter de ingreso de libre destinación y se convierta en un ingreso de destinación específica atado a un fondo de inversión. La revisión debe incluir el impacto en los ICLD, la sostenibilidad presupuestal, la trazabilidad contable y los mecanismos de control, dejando constancia expresa en el acuerdo de la opción escogida y sus efectos sobre la clasificación y el manejo del ingreso.</w:t>
      </w:r>
    </w:p>
    <w:p w14:paraId="597059D7" w14:textId="77777777" w:rsidR="00707E60" w:rsidRDefault="00707E60"/>
    <w:p w14:paraId="412E737A" w14:textId="77777777" w:rsidR="00707E60" w:rsidRDefault="00707E60"/>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510ED" w14:textId="77777777" w:rsidR="00745C46" w:rsidRDefault="00745C46" w:rsidP="00707E60">
      <w:pPr>
        <w:spacing w:after="0" w:line="240" w:lineRule="auto"/>
      </w:pPr>
      <w:r>
        <w:separator/>
      </w:r>
    </w:p>
  </w:endnote>
  <w:endnote w:type="continuationSeparator" w:id="0">
    <w:p w14:paraId="2D7F9B23" w14:textId="77777777" w:rsidR="00745C46" w:rsidRDefault="00745C46"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F902F" w14:textId="77777777" w:rsidR="00745C46" w:rsidRDefault="00745C46" w:rsidP="00707E60">
      <w:pPr>
        <w:spacing w:after="0" w:line="240" w:lineRule="auto"/>
      </w:pPr>
      <w:r>
        <w:separator/>
      </w:r>
    </w:p>
  </w:footnote>
  <w:footnote w:type="continuationSeparator" w:id="0">
    <w:p w14:paraId="450BC8C0" w14:textId="77777777" w:rsidR="00745C46" w:rsidRDefault="00745C46"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1C11A54F">
              <wp:simplePos x="0" y="0"/>
              <wp:positionH relativeFrom="column">
                <wp:posOffset>37238</wp:posOffset>
              </wp:positionH>
              <wp:positionV relativeFrom="paragraph">
                <wp:posOffset>-111760</wp:posOffset>
              </wp:positionV>
              <wp:extent cx="3256767"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256767"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43D5537E" w:rsidR="00707E60" w:rsidRPr="00707E60" w:rsidRDefault="00707E60" w:rsidP="00707E60">
                          <w:pPr>
                            <w:pStyle w:val="NoSpacing"/>
                            <w:rPr>
                              <w:color w:val="000000" w:themeColor="text1"/>
                              <w:sz w:val="28"/>
                              <w:szCs w:val="28"/>
                            </w:rPr>
                          </w:pPr>
                          <w:r w:rsidRPr="00707E60">
                            <w:rPr>
                              <w:color w:val="000000" w:themeColor="text1"/>
                              <w:sz w:val="28"/>
                              <w:szCs w:val="28"/>
                            </w:rPr>
                            <w:t xml:space="preserve">Ficha Municipio </w:t>
                          </w:r>
                          <w:r w:rsidR="000C2026">
                            <w:rPr>
                              <w:color w:val="000000" w:themeColor="text1"/>
                              <w:sz w:val="28"/>
                              <w:szCs w:val="28"/>
                            </w:rPr>
                            <w:t>A</w:t>
                          </w:r>
                          <w:r w:rsidR="00A407A7">
                            <w:rPr>
                              <w:color w:val="000000" w:themeColor="text1"/>
                              <w:sz w:val="28"/>
                              <w:szCs w:val="28"/>
                            </w:rPr>
                            <w:t>malfi</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2.95pt;margin-top:-8.8pt;width:256.4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43D5537E" w:rsidR="00707E60" w:rsidRPr="00707E60" w:rsidRDefault="00707E60" w:rsidP="00707E60">
                    <w:pPr>
                      <w:pStyle w:val="NoSpacing"/>
                      <w:rPr>
                        <w:color w:val="000000" w:themeColor="text1"/>
                        <w:sz w:val="28"/>
                        <w:szCs w:val="28"/>
                      </w:rPr>
                    </w:pPr>
                    <w:r w:rsidRPr="00707E60">
                      <w:rPr>
                        <w:color w:val="000000" w:themeColor="text1"/>
                        <w:sz w:val="28"/>
                        <w:szCs w:val="28"/>
                      </w:rPr>
                      <w:t xml:space="preserve">Ficha Municipio </w:t>
                    </w:r>
                    <w:r w:rsidR="000C2026">
                      <w:rPr>
                        <w:color w:val="000000" w:themeColor="text1"/>
                        <w:sz w:val="28"/>
                        <w:szCs w:val="28"/>
                      </w:rPr>
                      <w:t>A</w:t>
                    </w:r>
                    <w:r w:rsidR="00A407A7">
                      <w:rPr>
                        <w:color w:val="000000" w:themeColor="text1"/>
                        <w:sz w:val="28"/>
                        <w:szCs w:val="28"/>
                      </w:rPr>
                      <w:t>malfi</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B14A8"/>
    <w:multiLevelType w:val="multilevel"/>
    <w:tmpl w:val="2C22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D25BA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CE0E1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246065"/>
    <w:multiLevelType w:val="multilevel"/>
    <w:tmpl w:val="AD18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7704">
    <w:abstractNumId w:val="3"/>
  </w:num>
  <w:num w:numId="2" w16cid:durableId="1017347282">
    <w:abstractNumId w:val="4"/>
  </w:num>
  <w:num w:numId="3" w16cid:durableId="44450645">
    <w:abstractNumId w:val="6"/>
  </w:num>
  <w:num w:numId="4" w16cid:durableId="1953855267">
    <w:abstractNumId w:val="0"/>
  </w:num>
  <w:num w:numId="5" w16cid:durableId="1281302291">
    <w:abstractNumId w:val="2"/>
  </w:num>
  <w:num w:numId="6" w16cid:durableId="198319745">
    <w:abstractNumId w:val="5"/>
  </w:num>
  <w:num w:numId="7" w16cid:durableId="1222793921">
    <w:abstractNumId w:val="1"/>
  </w:num>
  <w:num w:numId="8" w16cid:durableId="16634665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84B98"/>
    <w:rsid w:val="000C2026"/>
    <w:rsid w:val="00120797"/>
    <w:rsid w:val="00134527"/>
    <w:rsid w:val="001B556D"/>
    <w:rsid w:val="00211E44"/>
    <w:rsid w:val="0023618C"/>
    <w:rsid w:val="003650D0"/>
    <w:rsid w:val="003A7CEA"/>
    <w:rsid w:val="003E2241"/>
    <w:rsid w:val="004107CA"/>
    <w:rsid w:val="005422DF"/>
    <w:rsid w:val="005D08ED"/>
    <w:rsid w:val="005F7A75"/>
    <w:rsid w:val="00605B4C"/>
    <w:rsid w:val="00665846"/>
    <w:rsid w:val="006A249B"/>
    <w:rsid w:val="00707E60"/>
    <w:rsid w:val="00745C46"/>
    <w:rsid w:val="00813F67"/>
    <w:rsid w:val="00844CC8"/>
    <w:rsid w:val="00845F02"/>
    <w:rsid w:val="00855468"/>
    <w:rsid w:val="009D1F9E"/>
    <w:rsid w:val="00A27409"/>
    <w:rsid w:val="00A407A7"/>
    <w:rsid w:val="00A55C9A"/>
    <w:rsid w:val="00A60686"/>
    <w:rsid w:val="00A96461"/>
    <w:rsid w:val="00AA7DD4"/>
    <w:rsid w:val="00BC7035"/>
    <w:rsid w:val="00C04706"/>
    <w:rsid w:val="00C942B0"/>
    <w:rsid w:val="00D37EF2"/>
    <w:rsid w:val="00DB14E5"/>
    <w:rsid w:val="00DD0016"/>
    <w:rsid w:val="00E20840"/>
    <w:rsid w:val="00E608BE"/>
    <w:rsid w:val="00F27231"/>
    <w:rsid w:val="00F65205"/>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905</Words>
  <Characters>5161</Characters>
  <Application>Microsoft Office Word</Application>
  <DocSecurity>0</DocSecurity>
  <Lines>43</Lines>
  <Paragraphs>12</Paragraphs>
  <ScaleCrop>false</ScaleCrop>
  <Company/>
  <LinksUpToDate>false</LinksUpToDate>
  <CharactersWithSpaces>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6</cp:revision>
  <dcterms:created xsi:type="dcterms:W3CDTF">2025-10-23T17:12:00Z</dcterms:created>
  <dcterms:modified xsi:type="dcterms:W3CDTF">2025-10-24T18:34:00Z</dcterms:modified>
</cp:coreProperties>
</file>