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67149F05"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BE3801">
        <w:rPr>
          <w:color w:val="000000" w:themeColor="text1"/>
          <w:sz w:val="44"/>
          <w:szCs w:val="44"/>
        </w:rPr>
        <w:t xml:space="preserve">Argelia </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77CA224F" w14:textId="77777777" w:rsidR="00BE3801" w:rsidRPr="00BE3801" w:rsidRDefault="00BE3801" w:rsidP="00BE3801">
      <w:pPr>
        <w:spacing w:line="360" w:lineRule="auto"/>
        <w:jc w:val="both"/>
        <w:rPr>
          <w:rFonts w:ascii="Aptos" w:hAnsi="Aptos" w:cs="Times New Roman"/>
        </w:rPr>
      </w:pPr>
      <w:r w:rsidRPr="00BE3801">
        <w:rPr>
          <w:rFonts w:ascii="Aptos" w:hAnsi="Aptos" w:cs="Times New Roman"/>
        </w:rPr>
        <w:lastRenderedPageBreak/>
        <w:t>Estado actual de su normatividad tributaria: Acuerdos 010 de 2019, 011 de 2022 y 011 de 2024.</w:t>
      </w:r>
    </w:p>
    <w:p w14:paraId="20931ABA" w14:textId="77777777" w:rsidR="00BE3801" w:rsidRPr="00BE3801" w:rsidRDefault="00BE3801" w:rsidP="00BE3801">
      <w:pPr>
        <w:spacing w:line="360" w:lineRule="auto"/>
        <w:jc w:val="both"/>
        <w:rPr>
          <w:rFonts w:ascii="Aptos" w:hAnsi="Aptos" w:cs="Times New Roman"/>
          <w:b/>
          <w:bCs/>
          <w:sz w:val="32"/>
          <w:szCs w:val="32"/>
        </w:rPr>
      </w:pPr>
      <w:r w:rsidRPr="00BE3801">
        <w:rPr>
          <w:rFonts w:ascii="Aptos" w:hAnsi="Aptos" w:cs="Times New Roman"/>
          <w:b/>
          <w:bCs/>
          <w:sz w:val="32"/>
          <w:szCs w:val="32"/>
        </w:rPr>
        <w:t>Hallazgos</w:t>
      </w:r>
    </w:p>
    <w:p w14:paraId="467505F2"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271ED7B"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Matriz tarifaria propia no armonizada con los lineamientos de la Gerencia de Catastro, lo que puede generar fricciones en procesos futuros de actualización catastral.</w:t>
      </w:r>
    </w:p>
    <w:p w14:paraId="37B055FC"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Tarifas elevadas: el 19‰ fijado para extracción de hidrocarburos, industria y minería excede límites legales, con riesgo de contingencias.</w:t>
      </w:r>
    </w:p>
    <w:p w14:paraId="02DF7746"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Alumbrado público ambiguo: coexistencia de porcentaje sobre el IPU y sobretasa de 1‰ sobre el avalúo, con riesgo de doble cobro o desbordamiento tarifario; además, no se precisa la tarifa para predios sin servicio de energía.</w:t>
      </w:r>
    </w:p>
    <w:p w14:paraId="51EF59EC"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Límites al incremento: se advierte la necesidad de respetar el sistema de topes del IPU, evitando superar el 25 % previsto en la Ley 1450 de 2011.</w:t>
      </w:r>
    </w:p>
    <w:p w14:paraId="665993FE"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Estratificación no verificada para efectos de liquidación.</w:t>
      </w:r>
    </w:p>
    <w:p w14:paraId="158F5F47"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Determinación y cobro: pago trimestral y factura como título de cobro.</w:t>
      </w:r>
    </w:p>
    <w:p w14:paraId="3846DEC4"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Porcentaje ambiental: 15 % del recaudo efectivo del IPU. (sin incluir intereses de mora).</w:t>
      </w:r>
    </w:p>
    <w:p w14:paraId="11DCD2FB"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Beneficios: reforestación y conservación de microcuencas (2‰); patrimonio arquitectónico (5 % a 30 %).</w:t>
      </w:r>
    </w:p>
    <w:p w14:paraId="5F96AF7D" w14:textId="77777777" w:rsidR="00BE3801" w:rsidRPr="00BE3801" w:rsidRDefault="00BE3801" w:rsidP="00BE3801">
      <w:pPr>
        <w:numPr>
          <w:ilvl w:val="0"/>
          <w:numId w:val="7"/>
        </w:numPr>
        <w:spacing w:line="360" w:lineRule="auto"/>
        <w:jc w:val="both"/>
        <w:rPr>
          <w:rFonts w:ascii="Aptos" w:hAnsi="Aptos" w:cs="Times New Roman"/>
        </w:rPr>
      </w:pPr>
      <w:r w:rsidRPr="00BE3801">
        <w:rPr>
          <w:rFonts w:ascii="Aptos" w:hAnsi="Aptos" w:cs="Times New Roman"/>
        </w:rPr>
        <w:t>Incentivo por conservación de microcuencas y promoción de la agricultura : Aplica a predios rurales agrícolas que acrediten destinar 2/3 del área a agricultura o a arborización extensiva sobre microcuencas.</w:t>
      </w:r>
    </w:p>
    <w:p w14:paraId="32D7331D" w14:textId="77777777" w:rsidR="00BE3801" w:rsidRPr="00BE3801" w:rsidRDefault="00BE3801" w:rsidP="00BE3801">
      <w:pPr>
        <w:spacing w:line="360" w:lineRule="auto"/>
        <w:ind w:left="720"/>
        <w:jc w:val="both"/>
        <w:rPr>
          <w:rFonts w:ascii="Aptos" w:hAnsi="Aptos" w:cs="Times New Roman"/>
        </w:rPr>
      </w:pPr>
    </w:p>
    <w:p w14:paraId="04D0BE2C" w14:textId="77777777" w:rsidR="00BE3801" w:rsidRPr="00BE3801" w:rsidRDefault="00BE3801" w:rsidP="00BE3801">
      <w:pPr>
        <w:spacing w:line="360" w:lineRule="auto"/>
        <w:jc w:val="both"/>
        <w:rPr>
          <w:rFonts w:ascii="Aptos" w:hAnsi="Aptos" w:cs="Times New Roman"/>
          <w:b/>
          <w:bCs/>
          <w:sz w:val="32"/>
          <w:szCs w:val="32"/>
        </w:rPr>
      </w:pPr>
      <w:r w:rsidRPr="00BE3801">
        <w:rPr>
          <w:rFonts w:ascii="Aptos" w:hAnsi="Aptos" w:cs="Times New Roman"/>
          <w:b/>
          <w:bCs/>
          <w:sz w:val="32"/>
          <w:szCs w:val="32"/>
        </w:rPr>
        <w:lastRenderedPageBreak/>
        <w:t>Recomendaciones</w:t>
      </w:r>
    </w:p>
    <w:p w14:paraId="571C6145" w14:textId="77777777" w:rsidR="00BE3801" w:rsidRPr="00BE3801" w:rsidRDefault="00BE3801" w:rsidP="00BE3801">
      <w:pPr>
        <w:numPr>
          <w:ilvl w:val="0"/>
          <w:numId w:val="8"/>
        </w:numPr>
        <w:spacing w:line="360" w:lineRule="auto"/>
        <w:jc w:val="both"/>
        <w:rPr>
          <w:rFonts w:ascii="Aptos" w:hAnsi="Aptos" w:cs="Times New Roman"/>
        </w:rPr>
      </w:pPr>
      <w:r w:rsidRPr="00BE3801">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6CC7240" w14:textId="77777777" w:rsidR="00BE3801" w:rsidRPr="00BE3801" w:rsidRDefault="00BE3801" w:rsidP="00BE3801">
      <w:pPr>
        <w:numPr>
          <w:ilvl w:val="0"/>
          <w:numId w:val="8"/>
        </w:numPr>
        <w:spacing w:line="360" w:lineRule="auto"/>
        <w:jc w:val="both"/>
        <w:rPr>
          <w:rFonts w:ascii="Aptos" w:hAnsi="Aptos" w:cs="Times New Roman"/>
        </w:rPr>
      </w:pPr>
      <w:r w:rsidRPr="00BE3801">
        <w:rPr>
          <w:rFonts w:ascii="Aptos" w:hAnsi="Aptos" w:cs="Times New Roman"/>
        </w:rPr>
        <w:t>Armonizar la matriz tarifaria con la clasificación y definiciones catastrales vigentes de la Gerencia de Catastro, para asegurar coherencia técnica en eventuales actualizaciones.</w:t>
      </w:r>
    </w:p>
    <w:p w14:paraId="1C47E774" w14:textId="77777777" w:rsidR="00BE3801" w:rsidRPr="00BE3801" w:rsidRDefault="00BE3801" w:rsidP="00BE3801">
      <w:pPr>
        <w:numPr>
          <w:ilvl w:val="0"/>
          <w:numId w:val="8"/>
        </w:numPr>
        <w:spacing w:line="360" w:lineRule="auto"/>
        <w:jc w:val="both"/>
        <w:rPr>
          <w:rFonts w:ascii="Aptos" w:hAnsi="Aptos" w:cs="Times New Roman"/>
        </w:rPr>
      </w:pPr>
      <w:r w:rsidRPr="00BE3801">
        <w:rPr>
          <w:rFonts w:ascii="Aptos" w:hAnsi="Aptos" w:cs="Times New Roman"/>
        </w:rPr>
        <w:t>Revisar y corregir las tarifas que exceden límites legales (p. ej., 19‰ para actividades extractivas e industriales), a fin de mitigar riesgos de nulidad y contingencias.</w:t>
      </w:r>
    </w:p>
    <w:p w14:paraId="0D871DB1" w14:textId="77777777" w:rsidR="00BE3801" w:rsidRPr="00BE3801" w:rsidRDefault="00BE3801" w:rsidP="00BE3801">
      <w:pPr>
        <w:numPr>
          <w:ilvl w:val="0"/>
          <w:numId w:val="8"/>
        </w:numPr>
        <w:spacing w:line="360" w:lineRule="auto"/>
        <w:jc w:val="both"/>
        <w:rPr>
          <w:rFonts w:ascii="Aptos" w:hAnsi="Aptos" w:cs="Times New Roman"/>
        </w:rPr>
      </w:pPr>
      <w:r w:rsidRPr="00BE3801">
        <w:rPr>
          <w:rFonts w:ascii="Aptos" w:hAnsi="Aptos" w:cs="Times New Roman"/>
        </w:rPr>
        <w:t>Clarificar el régimen de alumbrado público: definir de manera expresa la base gravable (IPU o avalúo), evitar superposiciones entre porcentaje y sobretasa de 1‰, y precisar la tarifa aplicable a predios sin energía.</w:t>
      </w:r>
    </w:p>
    <w:p w14:paraId="138ACCE5" w14:textId="77777777" w:rsidR="00BE3801" w:rsidRPr="00BE3801" w:rsidRDefault="00BE3801" w:rsidP="00BE3801">
      <w:pPr>
        <w:numPr>
          <w:ilvl w:val="0"/>
          <w:numId w:val="8"/>
        </w:numPr>
        <w:spacing w:line="360" w:lineRule="auto"/>
        <w:jc w:val="both"/>
        <w:rPr>
          <w:rFonts w:ascii="Aptos" w:hAnsi="Aptos" w:cs="Times New Roman"/>
        </w:rPr>
      </w:pPr>
      <w:r w:rsidRPr="00BE3801">
        <w:rPr>
          <w:rFonts w:ascii="Aptos" w:hAnsi="Aptos" w:cs="Times New Roman"/>
        </w:rPr>
        <w:t>Ajustar el régimen de topes al incremento del IPU para garantizar observancia del 25 % de la Ley 1450 de 2011.</w:t>
      </w:r>
    </w:p>
    <w:p w14:paraId="4EE32C81" w14:textId="77777777" w:rsidR="00BE3801" w:rsidRPr="00BE3801" w:rsidRDefault="00BE3801" w:rsidP="00BE3801">
      <w:pPr>
        <w:numPr>
          <w:ilvl w:val="0"/>
          <w:numId w:val="8"/>
        </w:numPr>
        <w:spacing w:line="360" w:lineRule="auto"/>
        <w:jc w:val="both"/>
        <w:rPr>
          <w:rFonts w:ascii="Aptos" w:hAnsi="Aptos" w:cs="Times New Roman"/>
        </w:rPr>
      </w:pPr>
      <w:r w:rsidRPr="00BE3801">
        <w:rPr>
          <w:rFonts w:ascii="Aptos" w:hAnsi="Aptos" w:cs="Times New Roman"/>
        </w:rPr>
        <w:t>Verificar y actualizar la estratificación utilizada como base del cobro, documentando metodología y fuente.</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F915C" w14:textId="77777777" w:rsidR="0031580C" w:rsidRDefault="0031580C" w:rsidP="00707E60">
      <w:pPr>
        <w:spacing w:after="0" w:line="240" w:lineRule="auto"/>
      </w:pPr>
      <w:r>
        <w:separator/>
      </w:r>
    </w:p>
  </w:endnote>
  <w:endnote w:type="continuationSeparator" w:id="0">
    <w:p w14:paraId="46E4305A" w14:textId="77777777" w:rsidR="0031580C" w:rsidRDefault="0031580C"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99C20" w14:textId="77777777" w:rsidR="0031580C" w:rsidRDefault="0031580C" w:rsidP="00707E60">
      <w:pPr>
        <w:spacing w:after="0" w:line="240" w:lineRule="auto"/>
      </w:pPr>
      <w:r>
        <w:separator/>
      </w:r>
    </w:p>
  </w:footnote>
  <w:footnote w:type="continuationSeparator" w:id="0">
    <w:p w14:paraId="556FCE6A" w14:textId="77777777" w:rsidR="0031580C" w:rsidRDefault="0031580C"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F457B40"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A</w:t>
                          </w:r>
                          <w:r w:rsidR="00BE3801">
                            <w:rPr>
                              <w:color w:val="000000" w:themeColor="text1"/>
                              <w:sz w:val="28"/>
                              <w:szCs w:val="28"/>
                            </w:rPr>
                            <w:t>rgelia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F457B40"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A</w:t>
                    </w:r>
                    <w:r w:rsidR="00BE3801">
                      <w:rPr>
                        <w:color w:val="000000" w:themeColor="text1"/>
                        <w:sz w:val="28"/>
                        <w:szCs w:val="28"/>
                      </w:rPr>
                      <w:t>rgelia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3"/>
  </w:num>
  <w:num w:numId="2" w16cid:durableId="1017347282">
    <w:abstractNumId w:val="5"/>
  </w:num>
  <w:num w:numId="3" w16cid:durableId="44450645">
    <w:abstractNumId w:val="7"/>
  </w:num>
  <w:num w:numId="4" w16cid:durableId="1953855267">
    <w:abstractNumId w:val="0"/>
  </w:num>
  <w:num w:numId="5" w16cid:durableId="279457733">
    <w:abstractNumId w:val="4"/>
  </w:num>
  <w:num w:numId="6" w16cid:durableId="829055416">
    <w:abstractNumId w:val="1"/>
  </w:num>
  <w:num w:numId="7" w16cid:durableId="1974747392">
    <w:abstractNumId w:val="2"/>
  </w:num>
  <w:num w:numId="8" w16cid:durableId="1342120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4107CA"/>
    <w:rsid w:val="005422DF"/>
    <w:rsid w:val="005D08ED"/>
    <w:rsid w:val="005F7A75"/>
    <w:rsid w:val="00605B4C"/>
    <w:rsid w:val="00665846"/>
    <w:rsid w:val="006A249B"/>
    <w:rsid w:val="00707E60"/>
    <w:rsid w:val="00723620"/>
    <w:rsid w:val="00813F67"/>
    <w:rsid w:val="00844CC8"/>
    <w:rsid w:val="00845F02"/>
    <w:rsid w:val="00855468"/>
    <w:rsid w:val="009D1F9E"/>
    <w:rsid w:val="00A27409"/>
    <w:rsid w:val="00A55C9A"/>
    <w:rsid w:val="00A60686"/>
    <w:rsid w:val="00A96461"/>
    <w:rsid w:val="00AA7DD4"/>
    <w:rsid w:val="00BC7035"/>
    <w:rsid w:val="00BE3801"/>
    <w:rsid w:val="00C04706"/>
    <w:rsid w:val="00C24423"/>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6</cp:revision>
  <dcterms:created xsi:type="dcterms:W3CDTF">2025-10-23T17:12:00Z</dcterms:created>
  <dcterms:modified xsi:type="dcterms:W3CDTF">2025-10-24T17:40:00Z</dcterms:modified>
</cp:coreProperties>
</file>