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03C5A8FA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C8654E">
        <w:rPr>
          <w:color w:val="000000" w:themeColor="text1"/>
          <w:sz w:val="44"/>
          <w:szCs w:val="44"/>
        </w:rPr>
        <w:t>Armenia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5DEFA021" w14:textId="77777777" w:rsidR="004E66EB" w:rsidRPr="004E66EB" w:rsidRDefault="004E66EB" w:rsidP="004E66EB">
      <w:pPr>
        <w:jc w:val="both"/>
        <w:rPr>
          <w:rFonts w:ascii="Aptos" w:hAnsi="Aptos"/>
        </w:rPr>
      </w:pPr>
      <w:r w:rsidRPr="004E66EB">
        <w:rPr>
          <w:rFonts w:ascii="Aptos" w:hAnsi="Aptos"/>
        </w:rPr>
        <w:lastRenderedPageBreak/>
        <w:t>El estado actual de su normatividad tributaria se establece en el Acuerdo 11 de 2022.</w:t>
      </w:r>
    </w:p>
    <w:p w14:paraId="4CDEF066" w14:textId="77777777" w:rsidR="004E66EB" w:rsidRPr="004E66EB" w:rsidRDefault="004E66EB" w:rsidP="004E66EB">
      <w:pPr>
        <w:spacing w:line="360" w:lineRule="auto"/>
        <w:jc w:val="both"/>
        <w:rPr>
          <w:rFonts w:ascii="Aptos" w:hAnsi="Aptos"/>
          <w:b/>
          <w:bCs/>
          <w:sz w:val="32"/>
          <w:szCs w:val="32"/>
        </w:rPr>
      </w:pPr>
      <w:r w:rsidRPr="004E66EB">
        <w:rPr>
          <w:rFonts w:ascii="Aptos" w:eastAsia="Cambria" w:hAnsi="Aptos"/>
          <w:b/>
          <w:bCs/>
          <w:sz w:val="32"/>
          <w:szCs w:val="32"/>
        </w:rPr>
        <w:t>Hallazgos</w:t>
      </w:r>
    </w:p>
    <w:p w14:paraId="1FB94DCD" w14:textId="77777777" w:rsidR="004E66EB" w:rsidRPr="004E66EB" w:rsidRDefault="004E66EB" w:rsidP="004E66EB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22EA75A9" w14:textId="77777777" w:rsidR="004E66EB" w:rsidRPr="004E66EB" w:rsidRDefault="004E66EB" w:rsidP="004E66EB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La matriz tarifaria se apoya en la clasificación de destinos económicos de 2021; requiere homologación a la nomenclatura vigente. Se observan tarifas mínimas de 5‰ y máximas de 25‰, sin bandas específicas para lotes a 33‰.</w:t>
      </w:r>
    </w:p>
    <w:p w14:paraId="17B0931D" w14:textId="77777777" w:rsidR="004E66EB" w:rsidRPr="004E66EB" w:rsidRDefault="004E66EB" w:rsidP="004E66EB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Los conceptos de exclusiones y exenciones aparecen tratados bajo un mismo paraguas normativo, mezclando bienes de prohibido gravamen (bienes de uso público, predios de bomberos, bienes de interés cultural, templos y viviendas religiosas, JAC, instituciones de educación pública, ancianatos operados por ESAL) con beneficios tributarios, lo que dificulta el control de requisitos y la pérdida del tratamiento cuando cambia la destinación.</w:t>
      </w:r>
    </w:p>
    <w:p w14:paraId="6C087448" w14:textId="77777777" w:rsidR="004E66EB" w:rsidRPr="004E66EB" w:rsidRDefault="004E66EB" w:rsidP="004E66EB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Los límites del IPU se remiten a Ley 44 de 1990 y Ley 1995 de 2019; no se identifica un esquema de transición/gradualidad diferenciado para escenarios de rezago catastral. Riesgo de saltos en la carga cuando concurren actualizaciones o cambios tarifarios.</w:t>
      </w:r>
    </w:p>
    <w:p w14:paraId="1B61E991" w14:textId="77777777" w:rsidR="004E66EB" w:rsidRPr="004E66EB" w:rsidRDefault="004E66EB" w:rsidP="004E66EB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Periodicidad y pago: el impuesto se recauda trimestralmente.</w:t>
      </w:r>
    </w:p>
    <w:p w14:paraId="164A1973" w14:textId="77777777" w:rsidR="004E66EB" w:rsidRPr="004E66EB" w:rsidRDefault="004E66EB" w:rsidP="004E66EB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Sobretasas: ambiental del 1,5‰ sobre la misma base del IPU; bomberil calculada sobre el impuesto predial; alumbrado público al 1‰. No se evidencia regla que articule estas cargas con los límites y transiciones del IPU, lo que puede producir desbordes acumulados en escenarios de actualización o variaciones de tarifa.</w:t>
      </w:r>
    </w:p>
    <w:p w14:paraId="33BF05FA" w14:textId="77777777" w:rsidR="004E66EB" w:rsidRPr="004E66EB" w:rsidRDefault="004E66EB" w:rsidP="004E66EB">
      <w:pPr>
        <w:pStyle w:val="ListParagraph"/>
        <w:widowControl w:val="0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Existen prohibiciones con enfoque ambiental o de uso del suelo (parques públicos), pero sin un procedimiento de acreditación, vigencia y control del costo fiscal.</w:t>
      </w:r>
    </w:p>
    <w:p w14:paraId="42552050" w14:textId="77777777" w:rsidR="004E66EB" w:rsidRPr="004E66EB" w:rsidRDefault="004E66EB" w:rsidP="004E66EB">
      <w:pPr>
        <w:pStyle w:val="ListParagraph"/>
        <w:spacing w:line="360" w:lineRule="auto"/>
        <w:ind w:left="1440"/>
        <w:rPr>
          <w:rFonts w:ascii="Aptos" w:hAnsi="Aptos" w:cs="Times New Roman"/>
        </w:rPr>
      </w:pPr>
    </w:p>
    <w:p w14:paraId="56C56465" w14:textId="77777777" w:rsidR="004E66EB" w:rsidRDefault="004E66EB" w:rsidP="004E66EB">
      <w:pPr>
        <w:pStyle w:val="ListParagraph"/>
        <w:spacing w:line="360" w:lineRule="auto"/>
        <w:ind w:left="1440"/>
        <w:rPr>
          <w:rFonts w:ascii="Aptos" w:hAnsi="Aptos" w:cs="Times New Roman"/>
        </w:rPr>
      </w:pPr>
    </w:p>
    <w:p w14:paraId="51F0BBF2" w14:textId="079BFBFC" w:rsidR="004E66EB" w:rsidRDefault="004E66EB" w:rsidP="004E66EB">
      <w:pPr>
        <w:pStyle w:val="ListParagraph"/>
        <w:spacing w:line="360" w:lineRule="auto"/>
        <w:ind w:left="1440"/>
        <w:rPr>
          <w:rFonts w:ascii="Aptos" w:hAnsi="Aptos" w:cs="Times New Roman"/>
        </w:rPr>
      </w:pPr>
    </w:p>
    <w:p w14:paraId="5FDCD0F9" w14:textId="77777777" w:rsidR="004E66EB" w:rsidRPr="004E66EB" w:rsidRDefault="004E66EB" w:rsidP="004E66EB">
      <w:pPr>
        <w:pStyle w:val="ListParagraph"/>
        <w:spacing w:line="360" w:lineRule="auto"/>
        <w:ind w:left="1440"/>
        <w:rPr>
          <w:rFonts w:ascii="Aptos" w:hAnsi="Aptos" w:cs="Times New Roman"/>
        </w:rPr>
      </w:pPr>
    </w:p>
    <w:p w14:paraId="6DA94D88" w14:textId="77777777" w:rsidR="004E66EB" w:rsidRPr="004E66EB" w:rsidRDefault="004E66EB" w:rsidP="004E66EB">
      <w:pPr>
        <w:spacing w:line="360" w:lineRule="auto"/>
        <w:rPr>
          <w:rFonts w:ascii="Aptos" w:hAnsi="Aptos"/>
          <w:sz w:val="32"/>
          <w:szCs w:val="32"/>
        </w:rPr>
      </w:pPr>
      <w:r w:rsidRPr="004E66EB">
        <w:rPr>
          <w:rFonts w:ascii="Aptos" w:eastAsia="Cambria" w:hAnsi="Aptos"/>
          <w:b/>
          <w:bCs/>
          <w:sz w:val="32"/>
          <w:szCs w:val="32"/>
        </w:rPr>
        <w:lastRenderedPageBreak/>
        <w:t>Recomendaciones</w:t>
      </w:r>
    </w:p>
    <w:p w14:paraId="13104841" w14:textId="77777777" w:rsidR="004E66EB" w:rsidRPr="004E66EB" w:rsidRDefault="004E66EB" w:rsidP="004E66EB">
      <w:pPr>
        <w:pStyle w:val="ListParagraph"/>
        <w:widowControl w:val="0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72B0A407" w14:textId="77777777" w:rsidR="004E66EB" w:rsidRPr="004E66EB" w:rsidRDefault="004E66EB" w:rsidP="004E66EB">
      <w:pPr>
        <w:pStyle w:val="ListParagraph"/>
        <w:widowControl w:val="0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Extender los topes y transiciones del IPU a la sobretasa bomberil y coordinar su aplicación con la de alumbrado público y la ambiental, de modo que el efecto combinado no supere los límites del IPU en escenarios de actualización o cambios tarifarios.</w:t>
      </w:r>
    </w:p>
    <w:p w14:paraId="7D918624" w14:textId="77777777" w:rsidR="004E66EB" w:rsidRPr="004E66EB" w:rsidRDefault="004E66EB" w:rsidP="004E66EB">
      <w:pPr>
        <w:pStyle w:val="ListParagraph"/>
        <w:widowControl w:val="0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>Distinguir con mayor precisión “prohibido gravamen” (fuera del hecho imponible) frente a exenciones/beneficios (extinción por política pública). Y clarificar requisitos, causales de pérdida y estimación del costo fiscal.</w:t>
      </w:r>
    </w:p>
    <w:p w14:paraId="52D41EF8" w14:textId="77777777" w:rsidR="004E66EB" w:rsidRPr="004E66EB" w:rsidRDefault="004E66EB" w:rsidP="004E66EB">
      <w:pPr>
        <w:pStyle w:val="ListParagraph"/>
        <w:widowControl w:val="0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4E66EB">
        <w:rPr>
          <w:rFonts w:ascii="Aptos" w:hAnsi="Aptos" w:cs="Times New Roman"/>
        </w:rPr>
        <w:t xml:space="preserve">Incorporar un esquema de transición/gradualidad específico para rezago catastral y su coordinación con modificaciones de tarifa, incluyendo reglas de compatibilidad con las sobretasas atadas al IPU. 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1BD6" w14:textId="77777777" w:rsidR="00F12C45" w:rsidRDefault="00F12C45" w:rsidP="00707E60">
      <w:pPr>
        <w:spacing w:after="0" w:line="240" w:lineRule="auto"/>
      </w:pPr>
      <w:r>
        <w:separator/>
      </w:r>
    </w:p>
  </w:endnote>
  <w:endnote w:type="continuationSeparator" w:id="0">
    <w:p w14:paraId="5A63FB29" w14:textId="77777777" w:rsidR="00F12C45" w:rsidRDefault="00F12C45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75CC2" w14:textId="77777777" w:rsidR="00F12C45" w:rsidRDefault="00F12C45" w:rsidP="00707E60">
      <w:pPr>
        <w:spacing w:after="0" w:line="240" w:lineRule="auto"/>
      </w:pPr>
      <w:r>
        <w:separator/>
      </w:r>
    </w:p>
  </w:footnote>
  <w:footnote w:type="continuationSeparator" w:id="0">
    <w:p w14:paraId="67381564" w14:textId="77777777" w:rsidR="00F12C45" w:rsidRDefault="00F12C45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69176D6B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C8654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Armenia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69176D6B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C8654E">
                      <w:rPr>
                        <w:color w:val="000000" w:themeColor="text1"/>
                        <w:sz w:val="28"/>
                        <w:szCs w:val="28"/>
                      </w:rPr>
                      <w:t>Armenia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1"/>
  </w:num>
  <w:num w:numId="2" w16cid:durableId="1017347282">
    <w:abstractNumId w:val="18"/>
  </w:num>
  <w:num w:numId="3" w16cid:durableId="44450645">
    <w:abstractNumId w:val="21"/>
  </w:num>
  <w:num w:numId="4" w16cid:durableId="1953855267">
    <w:abstractNumId w:val="1"/>
  </w:num>
  <w:num w:numId="5" w16cid:durableId="1281302291">
    <w:abstractNumId w:val="7"/>
  </w:num>
  <w:num w:numId="6" w16cid:durableId="198319745">
    <w:abstractNumId w:val="20"/>
  </w:num>
  <w:num w:numId="7" w16cid:durableId="1222793921">
    <w:abstractNumId w:val="2"/>
  </w:num>
  <w:num w:numId="8" w16cid:durableId="1663466582">
    <w:abstractNumId w:val="22"/>
  </w:num>
  <w:num w:numId="9" w16cid:durableId="1601404175">
    <w:abstractNumId w:val="27"/>
  </w:num>
  <w:num w:numId="10" w16cid:durableId="1696037023">
    <w:abstractNumId w:val="24"/>
  </w:num>
  <w:num w:numId="11" w16cid:durableId="1726874531">
    <w:abstractNumId w:val="6"/>
  </w:num>
  <w:num w:numId="12" w16cid:durableId="1308511851">
    <w:abstractNumId w:val="14"/>
  </w:num>
  <w:num w:numId="13" w16cid:durableId="470710239">
    <w:abstractNumId w:val="10"/>
  </w:num>
  <w:num w:numId="14" w16cid:durableId="335232453">
    <w:abstractNumId w:val="0"/>
  </w:num>
  <w:num w:numId="15" w16cid:durableId="864756385">
    <w:abstractNumId w:val="23"/>
  </w:num>
  <w:num w:numId="16" w16cid:durableId="1808812370">
    <w:abstractNumId w:val="8"/>
  </w:num>
  <w:num w:numId="17" w16cid:durableId="230238942">
    <w:abstractNumId w:val="26"/>
  </w:num>
  <w:num w:numId="18" w16cid:durableId="1750955448">
    <w:abstractNumId w:val="15"/>
  </w:num>
  <w:num w:numId="19" w16cid:durableId="1620525228">
    <w:abstractNumId w:val="19"/>
  </w:num>
  <w:num w:numId="20" w16cid:durableId="1971281397">
    <w:abstractNumId w:val="17"/>
  </w:num>
  <w:num w:numId="21" w16cid:durableId="898437512">
    <w:abstractNumId w:val="12"/>
  </w:num>
  <w:num w:numId="22" w16cid:durableId="1857577869">
    <w:abstractNumId w:val="13"/>
  </w:num>
  <w:num w:numId="23" w16cid:durableId="2099017172">
    <w:abstractNumId w:val="4"/>
  </w:num>
  <w:num w:numId="24" w16cid:durableId="247349472">
    <w:abstractNumId w:val="5"/>
  </w:num>
  <w:num w:numId="25" w16cid:durableId="999231555">
    <w:abstractNumId w:val="9"/>
  </w:num>
  <w:num w:numId="26" w16cid:durableId="720834703">
    <w:abstractNumId w:val="3"/>
  </w:num>
  <w:num w:numId="27" w16cid:durableId="1572274572">
    <w:abstractNumId w:val="25"/>
  </w:num>
  <w:num w:numId="28" w16cid:durableId="15012360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A76FA"/>
    <w:rsid w:val="000C2026"/>
    <w:rsid w:val="001105DF"/>
    <w:rsid w:val="00120797"/>
    <w:rsid w:val="00134527"/>
    <w:rsid w:val="0016665C"/>
    <w:rsid w:val="00180D84"/>
    <w:rsid w:val="001B556D"/>
    <w:rsid w:val="00211E44"/>
    <w:rsid w:val="0023618C"/>
    <w:rsid w:val="00280F9A"/>
    <w:rsid w:val="002A4167"/>
    <w:rsid w:val="003650D0"/>
    <w:rsid w:val="003A7CEA"/>
    <w:rsid w:val="003E2241"/>
    <w:rsid w:val="004107CA"/>
    <w:rsid w:val="004671B7"/>
    <w:rsid w:val="004E66EB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944C88"/>
    <w:rsid w:val="0096088F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E2D50"/>
    <w:rsid w:val="00BB442A"/>
    <w:rsid w:val="00BC7035"/>
    <w:rsid w:val="00C04706"/>
    <w:rsid w:val="00C25E4F"/>
    <w:rsid w:val="00C8654E"/>
    <w:rsid w:val="00C942B0"/>
    <w:rsid w:val="00D37EF2"/>
    <w:rsid w:val="00D72AAC"/>
    <w:rsid w:val="00DB14E5"/>
    <w:rsid w:val="00DD0016"/>
    <w:rsid w:val="00E20840"/>
    <w:rsid w:val="00E608BE"/>
    <w:rsid w:val="00E733D1"/>
    <w:rsid w:val="00EF712C"/>
    <w:rsid w:val="00F12C45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24</cp:revision>
  <dcterms:created xsi:type="dcterms:W3CDTF">2025-10-23T17:12:00Z</dcterms:created>
  <dcterms:modified xsi:type="dcterms:W3CDTF">2025-11-06T12:51:00Z</dcterms:modified>
</cp:coreProperties>
</file>