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6C0D6C17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2DB23226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ED54DD">
        <w:rPr>
          <w:color w:val="000000" w:themeColor="text1"/>
          <w:sz w:val="44"/>
          <w:szCs w:val="44"/>
        </w:rPr>
        <w:t>Carmen del Viboral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2A7B27D5" w14:textId="77777777" w:rsidR="007059B9" w:rsidRPr="007059B9" w:rsidRDefault="007059B9" w:rsidP="007059B9">
      <w:pPr>
        <w:spacing w:line="360" w:lineRule="auto"/>
        <w:rPr>
          <w:rFonts w:ascii="Aptos" w:hAnsi="Aptos" w:cs="Times New Roman"/>
        </w:rPr>
      </w:pPr>
      <w:r w:rsidRPr="007059B9">
        <w:rPr>
          <w:rFonts w:ascii="Aptos" w:hAnsi="Aptos" w:cs="Times New Roman"/>
        </w:rPr>
        <w:lastRenderedPageBreak/>
        <w:t>El estado actual de su normatividad tributaria se establece en el Acuerdo 19 de 2020.</w:t>
      </w:r>
    </w:p>
    <w:p w14:paraId="51B3E31B" w14:textId="77777777" w:rsidR="007059B9" w:rsidRPr="007059B9" w:rsidRDefault="007059B9" w:rsidP="007059B9">
      <w:pPr>
        <w:spacing w:line="360" w:lineRule="auto"/>
        <w:rPr>
          <w:rFonts w:ascii="Aptos" w:hAnsi="Aptos" w:cs="Times New Roman"/>
          <w:sz w:val="32"/>
          <w:szCs w:val="32"/>
        </w:rPr>
      </w:pPr>
      <w:r w:rsidRPr="007059B9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7D1C5CA5" w14:textId="3735DC43" w:rsidR="007059B9" w:rsidRPr="007059B9" w:rsidRDefault="007059B9" w:rsidP="007059B9">
      <w:pPr>
        <w:pStyle w:val="ListParagraph"/>
        <w:numPr>
          <w:ilvl w:val="0"/>
          <w:numId w:val="38"/>
        </w:numPr>
        <w:spacing w:line="360" w:lineRule="auto"/>
        <w:rPr>
          <w:rFonts w:ascii="Aptos" w:hAnsi="Aptos" w:cs="Times New Roman"/>
        </w:rPr>
      </w:pPr>
      <w:r w:rsidRPr="007059B9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441B1DFA" w14:textId="250B33F4" w:rsidR="007059B9" w:rsidRPr="007059B9" w:rsidRDefault="007059B9" w:rsidP="007059B9">
      <w:pPr>
        <w:pStyle w:val="ListParagraph"/>
        <w:numPr>
          <w:ilvl w:val="0"/>
          <w:numId w:val="38"/>
        </w:numPr>
        <w:spacing w:line="360" w:lineRule="auto"/>
        <w:rPr>
          <w:rFonts w:ascii="Aptos" w:hAnsi="Aptos" w:cs="Times New Roman"/>
        </w:rPr>
      </w:pPr>
      <w:r w:rsidRPr="007059B9">
        <w:rPr>
          <w:rFonts w:ascii="Aptos" w:hAnsi="Aptos" w:cs="Times New Roman"/>
        </w:rPr>
        <w:t>La matriz tarifaria en zona urbana y rural usa rangos en pesos y se anuncia un rango general entre 1‰ y 16‰, lo que acelera la desactualización y dificulta la consistencia.</w:t>
      </w:r>
    </w:p>
    <w:p w14:paraId="35EFC8FE" w14:textId="77777777" w:rsidR="007059B9" w:rsidRDefault="007059B9" w:rsidP="007059B9">
      <w:pPr>
        <w:pStyle w:val="ListParagraph"/>
        <w:numPr>
          <w:ilvl w:val="0"/>
          <w:numId w:val="38"/>
        </w:numPr>
        <w:spacing w:line="360" w:lineRule="auto"/>
        <w:rPr>
          <w:rFonts w:ascii="Aptos" w:hAnsi="Aptos" w:cs="Times New Roman"/>
        </w:rPr>
      </w:pPr>
      <w:r w:rsidRPr="007059B9">
        <w:rPr>
          <w:rFonts w:ascii="Aptos" w:hAnsi="Aptos" w:cs="Times New Roman"/>
        </w:rPr>
        <w:t>En la zona de expansión urbana se emplean rangos “$1 en adelante” por destinación sin escalonamiento por tramos de avalúo, lo que afecta la progresividad y la relación avalúo-tarifa.</w:t>
      </w:r>
    </w:p>
    <w:p w14:paraId="5F59D935" w14:textId="52698A69" w:rsidR="007059B9" w:rsidRPr="007059B9" w:rsidRDefault="007059B9" w:rsidP="007059B9">
      <w:pPr>
        <w:pStyle w:val="ListParagraph"/>
        <w:numPr>
          <w:ilvl w:val="0"/>
          <w:numId w:val="38"/>
        </w:numPr>
        <w:spacing w:line="360" w:lineRule="auto"/>
        <w:rPr>
          <w:rFonts w:ascii="Aptos" w:hAnsi="Aptos" w:cs="Times New Roman"/>
        </w:rPr>
      </w:pPr>
      <w:r w:rsidRPr="007059B9">
        <w:rPr>
          <w:rFonts w:ascii="Aptos" w:hAnsi="Aptos" w:cs="Times New Roman"/>
        </w:rPr>
        <w:t>El esquema de límites para actualización catastral fija una progresión de tres años antes de llegar a tarifa plena, sin armonización explícita con demás reglas tarifarias.</w:t>
      </w:r>
    </w:p>
    <w:p w14:paraId="55E7AF2B" w14:textId="77777777" w:rsidR="007059B9" w:rsidRDefault="007059B9" w:rsidP="007059B9">
      <w:pPr>
        <w:pStyle w:val="ListParagraph"/>
        <w:numPr>
          <w:ilvl w:val="0"/>
          <w:numId w:val="38"/>
        </w:numPr>
        <w:spacing w:line="360" w:lineRule="auto"/>
        <w:rPr>
          <w:rFonts w:ascii="Aptos" w:hAnsi="Aptos" w:cs="Times New Roman"/>
        </w:rPr>
      </w:pPr>
      <w:r w:rsidRPr="007059B9">
        <w:rPr>
          <w:rFonts w:ascii="Aptos" w:hAnsi="Aptos" w:cs="Times New Roman"/>
        </w:rPr>
        <w:t>El tratamiento especial con tarifa del 4‰ hasta por diez años para varias categorías puede solaparse con exclusiones y exenciones por ausencia de una regla de prelación y no concurrencia.</w:t>
      </w:r>
    </w:p>
    <w:p w14:paraId="14EEBAD8" w14:textId="3076BAC4" w:rsidR="007059B9" w:rsidRPr="007059B9" w:rsidRDefault="007059B9" w:rsidP="007059B9">
      <w:pPr>
        <w:pStyle w:val="ListParagraph"/>
        <w:numPr>
          <w:ilvl w:val="0"/>
          <w:numId w:val="38"/>
        </w:numPr>
        <w:spacing w:line="360" w:lineRule="auto"/>
        <w:rPr>
          <w:rFonts w:ascii="Aptos" w:hAnsi="Aptos" w:cs="Times New Roman"/>
        </w:rPr>
      </w:pPr>
      <w:r w:rsidRPr="007059B9">
        <w:rPr>
          <w:rFonts w:ascii="Aptos" w:hAnsi="Aptos" w:cs="Times New Roman"/>
        </w:rPr>
        <w:t>El conjunto de beneficios mezcla exclusión, exención y descuentos, con repeticiones y solapamientos que generan tratamientos distintos para supuestos equivalentes.</w:t>
      </w:r>
    </w:p>
    <w:p w14:paraId="2582BC39" w14:textId="54AEA488" w:rsidR="007059B9" w:rsidRPr="007059B9" w:rsidRDefault="007059B9" w:rsidP="007059B9">
      <w:pPr>
        <w:pStyle w:val="ListParagraph"/>
        <w:numPr>
          <w:ilvl w:val="0"/>
          <w:numId w:val="38"/>
        </w:numPr>
        <w:spacing w:line="360" w:lineRule="auto"/>
        <w:rPr>
          <w:rFonts w:ascii="Aptos" w:hAnsi="Aptos" w:cs="Times New Roman"/>
        </w:rPr>
      </w:pPr>
      <w:r w:rsidRPr="007059B9">
        <w:rPr>
          <w:rFonts w:ascii="Aptos" w:hAnsi="Aptos" w:cs="Times New Roman"/>
        </w:rPr>
        <w:t>Se otorgan beneficios por conservación y protección ambiental que pueden llegar hasta el 100% en suelos de protección y hasta el 50% fuera de ellos, sin delimitación geoespacial operativa, función proporcional explícita ni estimación del costo fiscal.</w:t>
      </w:r>
    </w:p>
    <w:p w14:paraId="237BA2B0" w14:textId="77777777" w:rsidR="007059B9" w:rsidRPr="007059B9" w:rsidRDefault="007059B9" w:rsidP="007059B9">
      <w:pPr>
        <w:pStyle w:val="ListParagraph"/>
        <w:spacing w:line="360" w:lineRule="auto"/>
        <w:rPr>
          <w:rFonts w:ascii="Aptos" w:hAnsi="Aptos" w:cs="Times New Roman"/>
        </w:rPr>
      </w:pPr>
    </w:p>
    <w:p w14:paraId="591CF475" w14:textId="77777777" w:rsidR="007059B9" w:rsidRPr="007059B9" w:rsidRDefault="007059B9" w:rsidP="007059B9">
      <w:pPr>
        <w:spacing w:line="360" w:lineRule="auto"/>
        <w:rPr>
          <w:rFonts w:ascii="Aptos" w:hAnsi="Aptos" w:cs="Times New Roman"/>
          <w:b/>
          <w:bCs/>
          <w:sz w:val="32"/>
          <w:szCs w:val="32"/>
        </w:rPr>
      </w:pPr>
      <w:r w:rsidRPr="007059B9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46DB0106" w14:textId="77777777" w:rsidR="007059B9" w:rsidRPr="007059B9" w:rsidRDefault="007059B9" w:rsidP="007059B9">
      <w:pPr>
        <w:pStyle w:val="ListParagraph"/>
        <w:widowControl w:val="0"/>
        <w:numPr>
          <w:ilvl w:val="0"/>
          <w:numId w:val="36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7059B9">
        <w:rPr>
          <w:rFonts w:ascii="Aptos" w:hAnsi="Aptos" w:cs="Times New Roman"/>
        </w:rPr>
        <w:t>Actualizar la tabla de destinos económicos conforme a la Resolución 2025060163216 para alinear integralmente el estatuto con el modelo LADM-COL v4.1 y evitar vacíos tarifarios.</w:t>
      </w:r>
    </w:p>
    <w:p w14:paraId="5AC318D2" w14:textId="77777777" w:rsidR="007059B9" w:rsidRPr="007059B9" w:rsidRDefault="007059B9" w:rsidP="007059B9">
      <w:pPr>
        <w:pStyle w:val="ListParagraph"/>
        <w:widowControl w:val="0"/>
        <w:numPr>
          <w:ilvl w:val="0"/>
          <w:numId w:val="36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7059B9">
        <w:rPr>
          <w:rFonts w:ascii="Aptos" w:hAnsi="Aptos" w:cs="Times New Roman"/>
        </w:rPr>
        <w:t>Sustituir los rangos de la matriz tarifaria expresados en pesos por rangos en UVT.</w:t>
      </w:r>
    </w:p>
    <w:p w14:paraId="099C21BC" w14:textId="77777777" w:rsidR="007059B9" w:rsidRPr="007059B9" w:rsidRDefault="007059B9" w:rsidP="007059B9">
      <w:pPr>
        <w:pStyle w:val="ListParagraph"/>
        <w:widowControl w:val="0"/>
        <w:numPr>
          <w:ilvl w:val="0"/>
          <w:numId w:val="36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7059B9">
        <w:rPr>
          <w:rFonts w:ascii="Aptos" w:hAnsi="Aptos" w:cs="Times New Roman"/>
        </w:rPr>
        <w:t xml:space="preserve">Reconfigurar la zona de expansión urbana con un esquema escalonado por tramos de avalúo por destinación económica, eliminando tarifas planas “$1 en adelante” y justificando </w:t>
      </w:r>
      <w:r w:rsidRPr="007059B9">
        <w:rPr>
          <w:rFonts w:ascii="Aptos" w:hAnsi="Aptos" w:cs="Times New Roman"/>
        </w:rPr>
        <w:lastRenderedPageBreak/>
        <w:t>diferenciales con criterios objetivos.</w:t>
      </w:r>
    </w:p>
    <w:p w14:paraId="45C6DCEC" w14:textId="77777777" w:rsidR="007059B9" w:rsidRPr="007059B9" w:rsidRDefault="007059B9" w:rsidP="007059B9">
      <w:pPr>
        <w:pStyle w:val="ListParagraph"/>
        <w:widowControl w:val="0"/>
        <w:numPr>
          <w:ilvl w:val="0"/>
          <w:numId w:val="36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7059B9">
        <w:rPr>
          <w:rFonts w:ascii="Aptos" w:hAnsi="Aptos" w:cs="Times New Roman"/>
        </w:rPr>
        <w:t>Incorporar una regla general de prelación y no concurrencia que separe con claridad exclusiones, exenciones y tratamientos especiales, evitando acumulaciones sobre un mismo predio y vigencia.</w:t>
      </w:r>
    </w:p>
    <w:p w14:paraId="79162957" w14:textId="77777777" w:rsidR="007059B9" w:rsidRPr="007059B9" w:rsidRDefault="007059B9" w:rsidP="007059B9">
      <w:pPr>
        <w:pStyle w:val="ListParagraph"/>
        <w:widowControl w:val="0"/>
        <w:numPr>
          <w:ilvl w:val="0"/>
          <w:numId w:val="36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7059B9">
        <w:rPr>
          <w:rFonts w:ascii="Aptos" w:hAnsi="Aptos" w:cs="Times New Roman"/>
        </w:rPr>
        <w:t>Depurar el tratamiento especial del 4‰ definiendo alcance, requisitos verificables, incompatibilidades con otros alivios, vigencia y causales de pérdida.</w:t>
      </w:r>
    </w:p>
    <w:p w14:paraId="623CE61D" w14:textId="77777777" w:rsidR="007059B9" w:rsidRPr="007059B9" w:rsidRDefault="007059B9" w:rsidP="007059B9">
      <w:pPr>
        <w:pStyle w:val="ListParagraph"/>
        <w:widowControl w:val="0"/>
        <w:numPr>
          <w:ilvl w:val="0"/>
          <w:numId w:val="36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7059B9">
        <w:rPr>
          <w:rFonts w:ascii="Aptos" w:hAnsi="Aptos" w:cs="Times New Roman"/>
        </w:rPr>
        <w:t>Precisar los beneficios ambientales mediante una función proporcional explícita entre área protegida y porcentaje de alivio con tope, delimitación geoespacial formal, certificación y verificación anual, vigencia definida, estimación de costo fiscal y aclaración de que no cobijan sobretasas de terceros salvo mandato expreso.</w:t>
      </w:r>
    </w:p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CA126" w14:textId="77777777" w:rsidR="00CB3E6E" w:rsidRDefault="00CB3E6E" w:rsidP="00707E60">
      <w:pPr>
        <w:spacing w:after="0" w:line="240" w:lineRule="auto"/>
      </w:pPr>
      <w:r>
        <w:separator/>
      </w:r>
    </w:p>
  </w:endnote>
  <w:endnote w:type="continuationSeparator" w:id="0">
    <w:p w14:paraId="75EEF71E" w14:textId="77777777" w:rsidR="00CB3E6E" w:rsidRDefault="00CB3E6E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8EE9C" w14:textId="77777777" w:rsidR="00CB3E6E" w:rsidRDefault="00CB3E6E" w:rsidP="00707E60">
      <w:pPr>
        <w:spacing w:after="0" w:line="240" w:lineRule="auto"/>
      </w:pPr>
      <w:r>
        <w:separator/>
      </w:r>
    </w:p>
  </w:footnote>
  <w:footnote w:type="continuationSeparator" w:id="0">
    <w:p w14:paraId="30165095" w14:textId="77777777" w:rsidR="00CB3E6E" w:rsidRDefault="00CB3E6E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00377EF0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ED54DD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Carmen del Viboral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00377EF0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ED54DD">
                      <w:rPr>
                        <w:color w:val="000000" w:themeColor="text1"/>
                        <w:sz w:val="28"/>
                        <w:szCs w:val="28"/>
                      </w:rPr>
                      <w:t>Carmen del Viboral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922E8"/>
    <w:multiLevelType w:val="multilevel"/>
    <w:tmpl w:val="B3B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52ACA"/>
    <w:multiLevelType w:val="hybridMultilevel"/>
    <w:tmpl w:val="7B90E6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13B06"/>
    <w:multiLevelType w:val="hybridMultilevel"/>
    <w:tmpl w:val="2FB8F1B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E4D88"/>
    <w:multiLevelType w:val="hybridMultilevel"/>
    <w:tmpl w:val="363CE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A2157"/>
    <w:multiLevelType w:val="hybridMultilevel"/>
    <w:tmpl w:val="7C2E6E4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35421A"/>
    <w:multiLevelType w:val="multilevel"/>
    <w:tmpl w:val="3CE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4216E"/>
    <w:multiLevelType w:val="multilevel"/>
    <w:tmpl w:val="867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E0F04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60A7F"/>
    <w:multiLevelType w:val="multilevel"/>
    <w:tmpl w:val="C78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16CF6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F0796"/>
    <w:multiLevelType w:val="hybridMultilevel"/>
    <w:tmpl w:val="6E24D776"/>
    <w:lvl w:ilvl="0" w:tplc="F938A3E0">
      <w:numFmt w:val="bullet"/>
      <w:lvlText w:val="•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46604"/>
    <w:multiLevelType w:val="multilevel"/>
    <w:tmpl w:val="F92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971A7"/>
    <w:multiLevelType w:val="multilevel"/>
    <w:tmpl w:val="CCF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5231C"/>
    <w:multiLevelType w:val="hybridMultilevel"/>
    <w:tmpl w:val="5DA26766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24A03"/>
    <w:multiLevelType w:val="hybridMultilevel"/>
    <w:tmpl w:val="D8CC94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175E2"/>
    <w:multiLevelType w:val="hybridMultilevel"/>
    <w:tmpl w:val="84F8C5F4"/>
    <w:lvl w:ilvl="0" w:tplc="0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45A77C1"/>
    <w:multiLevelType w:val="hybridMultilevel"/>
    <w:tmpl w:val="DB46AF3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AF6039"/>
    <w:multiLevelType w:val="hybridMultilevel"/>
    <w:tmpl w:val="7AC43800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18"/>
  </w:num>
  <w:num w:numId="2" w16cid:durableId="1017347282">
    <w:abstractNumId w:val="25"/>
  </w:num>
  <w:num w:numId="3" w16cid:durableId="44450645">
    <w:abstractNumId w:val="29"/>
  </w:num>
  <w:num w:numId="4" w16cid:durableId="1953855267">
    <w:abstractNumId w:val="1"/>
  </w:num>
  <w:num w:numId="5" w16cid:durableId="1281302291">
    <w:abstractNumId w:val="12"/>
  </w:num>
  <w:num w:numId="6" w16cid:durableId="198319745">
    <w:abstractNumId w:val="28"/>
  </w:num>
  <w:num w:numId="7" w16cid:durableId="1222793921">
    <w:abstractNumId w:val="2"/>
  </w:num>
  <w:num w:numId="8" w16cid:durableId="1663466582">
    <w:abstractNumId w:val="30"/>
  </w:num>
  <w:num w:numId="9" w16cid:durableId="1601404175">
    <w:abstractNumId w:val="37"/>
  </w:num>
  <w:num w:numId="10" w16cid:durableId="1696037023">
    <w:abstractNumId w:val="32"/>
  </w:num>
  <w:num w:numId="11" w16cid:durableId="1726874531">
    <w:abstractNumId w:val="10"/>
  </w:num>
  <w:num w:numId="12" w16cid:durableId="1308511851">
    <w:abstractNumId w:val="21"/>
  </w:num>
  <w:num w:numId="13" w16cid:durableId="470710239">
    <w:abstractNumId w:val="15"/>
  </w:num>
  <w:num w:numId="14" w16cid:durableId="335232453">
    <w:abstractNumId w:val="0"/>
  </w:num>
  <w:num w:numId="15" w16cid:durableId="864756385">
    <w:abstractNumId w:val="31"/>
  </w:num>
  <w:num w:numId="16" w16cid:durableId="1808812370">
    <w:abstractNumId w:val="13"/>
  </w:num>
  <w:num w:numId="17" w16cid:durableId="230238942">
    <w:abstractNumId w:val="35"/>
  </w:num>
  <w:num w:numId="18" w16cid:durableId="1750955448">
    <w:abstractNumId w:val="22"/>
  </w:num>
  <w:num w:numId="19" w16cid:durableId="1620525228">
    <w:abstractNumId w:val="26"/>
  </w:num>
  <w:num w:numId="20" w16cid:durableId="1971281397">
    <w:abstractNumId w:val="24"/>
  </w:num>
  <w:num w:numId="21" w16cid:durableId="898437512">
    <w:abstractNumId w:val="19"/>
  </w:num>
  <w:num w:numId="22" w16cid:durableId="1857577869">
    <w:abstractNumId w:val="20"/>
  </w:num>
  <w:num w:numId="23" w16cid:durableId="2099017172">
    <w:abstractNumId w:val="8"/>
  </w:num>
  <w:num w:numId="24" w16cid:durableId="247349472">
    <w:abstractNumId w:val="9"/>
  </w:num>
  <w:num w:numId="25" w16cid:durableId="999231555">
    <w:abstractNumId w:val="14"/>
  </w:num>
  <w:num w:numId="26" w16cid:durableId="720834703">
    <w:abstractNumId w:val="3"/>
  </w:num>
  <w:num w:numId="27" w16cid:durableId="1572274572">
    <w:abstractNumId w:val="33"/>
  </w:num>
  <w:num w:numId="28" w16cid:durableId="1501236082">
    <w:abstractNumId w:val="23"/>
  </w:num>
  <w:num w:numId="29" w16cid:durableId="1700162810">
    <w:abstractNumId w:val="34"/>
  </w:num>
  <w:num w:numId="30" w16cid:durableId="1948351018">
    <w:abstractNumId w:val="36"/>
  </w:num>
  <w:num w:numId="31" w16cid:durableId="77949455">
    <w:abstractNumId w:val="7"/>
  </w:num>
  <w:num w:numId="32" w16cid:durableId="973754944">
    <w:abstractNumId w:val="5"/>
  </w:num>
  <w:num w:numId="33" w16cid:durableId="1595629131">
    <w:abstractNumId w:val="16"/>
  </w:num>
  <w:num w:numId="34" w16cid:durableId="932476242">
    <w:abstractNumId w:val="11"/>
  </w:num>
  <w:num w:numId="35" w16cid:durableId="777524196">
    <w:abstractNumId w:val="27"/>
  </w:num>
  <w:num w:numId="36" w16cid:durableId="656347513">
    <w:abstractNumId w:val="4"/>
  </w:num>
  <w:num w:numId="37" w16cid:durableId="1519998992">
    <w:abstractNumId w:val="6"/>
  </w:num>
  <w:num w:numId="38" w16cid:durableId="1727647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42DD7"/>
    <w:rsid w:val="00073BBF"/>
    <w:rsid w:val="00084B98"/>
    <w:rsid w:val="00087C16"/>
    <w:rsid w:val="000A76FA"/>
    <w:rsid w:val="000C2026"/>
    <w:rsid w:val="001105DF"/>
    <w:rsid w:val="00120797"/>
    <w:rsid w:val="00130BDF"/>
    <w:rsid w:val="00134527"/>
    <w:rsid w:val="0016665C"/>
    <w:rsid w:val="00180D84"/>
    <w:rsid w:val="00194588"/>
    <w:rsid w:val="001B556D"/>
    <w:rsid w:val="00211E44"/>
    <w:rsid w:val="0023618C"/>
    <w:rsid w:val="00280F9A"/>
    <w:rsid w:val="002A4167"/>
    <w:rsid w:val="003650D0"/>
    <w:rsid w:val="003A7CEA"/>
    <w:rsid w:val="003E2241"/>
    <w:rsid w:val="003E760C"/>
    <w:rsid w:val="004107CA"/>
    <w:rsid w:val="004671B7"/>
    <w:rsid w:val="004E66EB"/>
    <w:rsid w:val="00506B6A"/>
    <w:rsid w:val="005422DF"/>
    <w:rsid w:val="005B772A"/>
    <w:rsid w:val="005D08ED"/>
    <w:rsid w:val="005F7A75"/>
    <w:rsid w:val="00605B4C"/>
    <w:rsid w:val="006212A0"/>
    <w:rsid w:val="00656CE7"/>
    <w:rsid w:val="00665846"/>
    <w:rsid w:val="006A249B"/>
    <w:rsid w:val="006F5715"/>
    <w:rsid w:val="007059B9"/>
    <w:rsid w:val="00707E60"/>
    <w:rsid w:val="00745C46"/>
    <w:rsid w:val="00813F67"/>
    <w:rsid w:val="00816BD4"/>
    <w:rsid w:val="00844CC8"/>
    <w:rsid w:val="00845F02"/>
    <w:rsid w:val="00852ADC"/>
    <w:rsid w:val="00855468"/>
    <w:rsid w:val="008A01C7"/>
    <w:rsid w:val="008C4785"/>
    <w:rsid w:val="00944C88"/>
    <w:rsid w:val="0096088F"/>
    <w:rsid w:val="009A3DE6"/>
    <w:rsid w:val="009D1F9E"/>
    <w:rsid w:val="009F1B3C"/>
    <w:rsid w:val="00A27409"/>
    <w:rsid w:val="00A407A7"/>
    <w:rsid w:val="00A456B7"/>
    <w:rsid w:val="00A55C9A"/>
    <w:rsid w:val="00A566B6"/>
    <w:rsid w:val="00A60686"/>
    <w:rsid w:val="00A96461"/>
    <w:rsid w:val="00AA7DD4"/>
    <w:rsid w:val="00AB7560"/>
    <w:rsid w:val="00AE2D50"/>
    <w:rsid w:val="00B26F8B"/>
    <w:rsid w:val="00BB442A"/>
    <w:rsid w:val="00BC7035"/>
    <w:rsid w:val="00C04706"/>
    <w:rsid w:val="00C25E4F"/>
    <w:rsid w:val="00C8654E"/>
    <w:rsid w:val="00C942B0"/>
    <w:rsid w:val="00CB3E6E"/>
    <w:rsid w:val="00CD1105"/>
    <w:rsid w:val="00D37EF2"/>
    <w:rsid w:val="00D72AAC"/>
    <w:rsid w:val="00DB14E5"/>
    <w:rsid w:val="00DD0016"/>
    <w:rsid w:val="00E20840"/>
    <w:rsid w:val="00E3658D"/>
    <w:rsid w:val="00E608BE"/>
    <w:rsid w:val="00E733D1"/>
    <w:rsid w:val="00ED54DD"/>
    <w:rsid w:val="00EF712C"/>
    <w:rsid w:val="00F12C45"/>
    <w:rsid w:val="00F244D0"/>
    <w:rsid w:val="00F27231"/>
    <w:rsid w:val="00F65205"/>
    <w:rsid w:val="00F8574C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37</cp:revision>
  <dcterms:created xsi:type="dcterms:W3CDTF">2025-10-23T17:12:00Z</dcterms:created>
  <dcterms:modified xsi:type="dcterms:W3CDTF">2025-11-12T12:38:00Z</dcterms:modified>
</cp:coreProperties>
</file>