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24C321DE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2F1B4B3D" w14:textId="77777777" w:rsidR="0084474E" w:rsidRDefault="0084474E" w:rsidP="0084474E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1594669D" w14:textId="24781DC8" w:rsidR="00707E60" w:rsidRPr="00707E60" w:rsidRDefault="00707E60" w:rsidP="0084474E">
      <w:pPr>
        <w:pStyle w:val="NoSpacing"/>
        <w:rPr>
          <w:b/>
          <w:bCs/>
          <w:color w:val="000000" w:themeColor="text1"/>
          <w:sz w:val="56"/>
          <w:szCs w:val="56"/>
        </w:rPr>
      </w:pP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48E6A834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912DFC">
        <w:rPr>
          <w:color w:val="000000" w:themeColor="text1"/>
          <w:sz w:val="44"/>
          <w:szCs w:val="44"/>
        </w:rPr>
        <w:t>Carolina del Pr</w:t>
      </w:r>
      <w:r w:rsidR="004A3A13">
        <w:rPr>
          <w:color w:val="000000" w:themeColor="text1"/>
          <w:sz w:val="44"/>
          <w:szCs w:val="44"/>
        </w:rPr>
        <w:t>íncipe</w:t>
      </w:r>
      <w:r w:rsidRPr="00707E60">
        <w:rPr>
          <w:color w:val="000000" w:themeColor="text1"/>
          <w:sz w:val="44"/>
          <w:szCs w:val="44"/>
        </w:rPr>
        <w:t xml:space="preserve"> 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7094477F" w14:textId="77777777" w:rsidR="00340F0A" w:rsidRPr="00340F0A" w:rsidRDefault="00340F0A" w:rsidP="00340F0A">
      <w:pPr>
        <w:spacing w:line="360" w:lineRule="auto"/>
        <w:rPr>
          <w:rFonts w:ascii="Aptos" w:hAnsi="Aptos" w:cs="Times New Roman"/>
        </w:rPr>
      </w:pPr>
      <w:r w:rsidRPr="00340F0A">
        <w:rPr>
          <w:rFonts w:ascii="Aptos" w:hAnsi="Aptos" w:cs="Times New Roman"/>
        </w:rPr>
        <w:lastRenderedPageBreak/>
        <w:t>El estado actual de su normatividad tributaria se establece en el Acuerdo 17 de 2024.</w:t>
      </w:r>
    </w:p>
    <w:p w14:paraId="0387D764" w14:textId="77777777" w:rsidR="00340F0A" w:rsidRPr="00340F0A" w:rsidRDefault="00340F0A" w:rsidP="00340F0A">
      <w:pPr>
        <w:spacing w:line="360" w:lineRule="auto"/>
        <w:jc w:val="both"/>
        <w:rPr>
          <w:rFonts w:ascii="Aptos" w:hAnsi="Aptos" w:cs="Times New Roman"/>
          <w:sz w:val="32"/>
          <w:szCs w:val="32"/>
        </w:rPr>
      </w:pPr>
      <w:r w:rsidRPr="00340F0A">
        <w:rPr>
          <w:rFonts w:ascii="Aptos" w:hAnsi="Aptos" w:cs="Times New Roman"/>
          <w:b/>
          <w:bCs/>
          <w:sz w:val="32"/>
          <w:szCs w:val="32"/>
        </w:rPr>
        <w:t>Hallazgos</w:t>
      </w:r>
    </w:p>
    <w:p w14:paraId="0D5EBB5F" w14:textId="77777777" w:rsidR="00340F0A" w:rsidRPr="00340F0A" w:rsidRDefault="00340F0A" w:rsidP="00340F0A">
      <w:pPr>
        <w:numPr>
          <w:ilvl w:val="0"/>
          <w:numId w:val="5"/>
        </w:numPr>
        <w:spacing w:line="360" w:lineRule="auto"/>
        <w:jc w:val="both"/>
        <w:rPr>
          <w:rFonts w:ascii="Aptos" w:hAnsi="Aptos" w:cs="Times New Roman"/>
        </w:rPr>
      </w:pPr>
      <w:r w:rsidRPr="00340F0A">
        <w:rPr>
          <w:rFonts w:ascii="Aptos" w:hAnsi="Aptos" w:cs="Times New Roman"/>
        </w:rPr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0646ED27" w14:textId="77777777" w:rsidR="00340F0A" w:rsidRPr="00340F0A" w:rsidRDefault="00340F0A" w:rsidP="00340F0A">
      <w:pPr>
        <w:numPr>
          <w:ilvl w:val="0"/>
          <w:numId w:val="5"/>
        </w:numPr>
        <w:spacing w:line="360" w:lineRule="auto"/>
        <w:jc w:val="both"/>
        <w:rPr>
          <w:rFonts w:ascii="Aptos" w:hAnsi="Aptos" w:cs="Times New Roman"/>
        </w:rPr>
      </w:pPr>
      <w:r w:rsidRPr="00340F0A">
        <w:rPr>
          <w:rFonts w:ascii="Aptos" w:hAnsi="Aptos" w:cs="Times New Roman"/>
        </w:rPr>
        <w:t>La matriz tarifaria anuncia bandas entre 1‰ y 16‰ y hasta 33‰ para lotes urbanizables no urbanizados y urbanizados no edificados, pero la tabla de milajes inicia en 5‰ y emplea valores con decimales (por ejemplo, 8.4 y 8.5).</w:t>
      </w:r>
    </w:p>
    <w:p w14:paraId="6A04A923" w14:textId="77777777" w:rsidR="00340F0A" w:rsidRPr="00340F0A" w:rsidRDefault="00340F0A" w:rsidP="00340F0A">
      <w:pPr>
        <w:numPr>
          <w:ilvl w:val="0"/>
          <w:numId w:val="5"/>
        </w:numPr>
        <w:spacing w:line="360" w:lineRule="auto"/>
        <w:jc w:val="both"/>
        <w:rPr>
          <w:rFonts w:ascii="Aptos" w:hAnsi="Aptos" w:cs="Times New Roman"/>
        </w:rPr>
      </w:pPr>
      <w:r w:rsidRPr="00340F0A">
        <w:rPr>
          <w:rFonts w:ascii="Aptos" w:hAnsi="Aptos" w:cs="Times New Roman"/>
        </w:rPr>
        <w:t>El predial compensatorio fija una liquidación al 150% para áreas de embalse/utilidad pública del sector eléctrico.</w:t>
      </w:r>
    </w:p>
    <w:p w14:paraId="4FD997DA" w14:textId="77777777" w:rsidR="00340F0A" w:rsidRPr="00340F0A" w:rsidRDefault="00340F0A" w:rsidP="00340F0A">
      <w:pPr>
        <w:numPr>
          <w:ilvl w:val="0"/>
          <w:numId w:val="5"/>
        </w:numPr>
        <w:spacing w:line="360" w:lineRule="auto"/>
        <w:jc w:val="both"/>
        <w:rPr>
          <w:rFonts w:ascii="Aptos" w:hAnsi="Aptos" w:cs="Times New Roman"/>
        </w:rPr>
      </w:pPr>
      <w:r w:rsidRPr="00340F0A">
        <w:rPr>
          <w:rFonts w:ascii="Aptos" w:hAnsi="Aptos" w:cs="Times New Roman"/>
        </w:rPr>
        <w:t>La tarifa preferente para inmuebles en zonas de alto riesgo o inundación reduce 2‰ frente a la tarifa aplicable, con umbral mínimo de 5‰, pero el procedimiento depende de certificaciones de Planeación/DAGRAN y solicitud previa al 31 de diciembre sin regular retroactividad, vigencia del beneficio, verificación anual ni causales de pérdida.</w:t>
      </w:r>
    </w:p>
    <w:p w14:paraId="69A374DD" w14:textId="77777777" w:rsidR="00340F0A" w:rsidRPr="00340F0A" w:rsidRDefault="00340F0A" w:rsidP="00340F0A">
      <w:pPr>
        <w:numPr>
          <w:ilvl w:val="0"/>
          <w:numId w:val="5"/>
        </w:numPr>
        <w:spacing w:line="360" w:lineRule="auto"/>
        <w:jc w:val="both"/>
        <w:rPr>
          <w:rFonts w:ascii="Aptos" w:hAnsi="Aptos" w:cs="Times New Roman"/>
        </w:rPr>
      </w:pPr>
      <w:r w:rsidRPr="00340F0A">
        <w:rPr>
          <w:rFonts w:ascii="Aptos" w:hAnsi="Aptos" w:cs="Times New Roman"/>
        </w:rPr>
        <w:t>Coexisten reglas de límites e incrementos: tope tipo IPC+8 para actualizados, 50% para no actualizados, límite del 25% por modificación de tarifas y un límite por pagar de “hasta el doble” tras formación.</w:t>
      </w:r>
    </w:p>
    <w:p w14:paraId="3EC726FD" w14:textId="77777777" w:rsidR="00340F0A" w:rsidRPr="00340F0A" w:rsidRDefault="00340F0A" w:rsidP="00340F0A">
      <w:pPr>
        <w:numPr>
          <w:ilvl w:val="0"/>
          <w:numId w:val="5"/>
        </w:numPr>
        <w:spacing w:line="360" w:lineRule="auto"/>
        <w:jc w:val="both"/>
        <w:rPr>
          <w:rFonts w:ascii="Aptos" w:hAnsi="Aptos" w:cs="Times New Roman"/>
        </w:rPr>
      </w:pPr>
      <w:r w:rsidRPr="00340F0A">
        <w:rPr>
          <w:rFonts w:ascii="Aptos" w:hAnsi="Aptos" w:cs="Times New Roman"/>
        </w:rPr>
        <w:t>La determinación oficial por factura y su mérito ejecutivo están previstos, pero no se precisan contenido mínimo, protocolo de publicación (web/cartelera), habilitación de domicilio electrónico, constancias y archivo probatorio de notificación; riesgo de nulidades por notificación irregular.</w:t>
      </w:r>
    </w:p>
    <w:p w14:paraId="792F968B" w14:textId="77777777" w:rsidR="00340F0A" w:rsidRPr="00340F0A" w:rsidRDefault="00340F0A" w:rsidP="00340F0A">
      <w:pPr>
        <w:numPr>
          <w:ilvl w:val="0"/>
          <w:numId w:val="5"/>
        </w:numPr>
        <w:spacing w:line="360" w:lineRule="auto"/>
        <w:jc w:val="both"/>
        <w:rPr>
          <w:rFonts w:ascii="Aptos" w:hAnsi="Aptos" w:cs="Times New Roman"/>
        </w:rPr>
      </w:pPr>
      <w:r w:rsidRPr="00340F0A">
        <w:rPr>
          <w:rFonts w:ascii="Aptos" w:hAnsi="Aptos" w:cs="Times New Roman"/>
        </w:rPr>
        <w:t>El SPAC para residenciales está habilitado sin parametrización del número de cuotas, ventana del calendario, compatibilidades/incompatibilidades, tratamiento de mora y causales de pérdida; falta articulación con el calendario tributario.</w:t>
      </w:r>
    </w:p>
    <w:p w14:paraId="31AF3C25" w14:textId="77777777" w:rsidR="00340F0A" w:rsidRDefault="00340F0A" w:rsidP="00340F0A">
      <w:pPr>
        <w:numPr>
          <w:ilvl w:val="0"/>
          <w:numId w:val="5"/>
        </w:numPr>
        <w:spacing w:line="360" w:lineRule="auto"/>
        <w:jc w:val="both"/>
        <w:rPr>
          <w:rFonts w:ascii="Aptos" w:hAnsi="Aptos" w:cs="Times New Roman"/>
        </w:rPr>
      </w:pPr>
      <w:r w:rsidRPr="00340F0A">
        <w:rPr>
          <w:rFonts w:ascii="Aptos" w:hAnsi="Aptos" w:cs="Times New Roman"/>
        </w:rPr>
        <w:t xml:space="preserve">El porcentaje ambiental del 15% sobre el IPU </w:t>
      </w:r>
    </w:p>
    <w:p w14:paraId="51602254" w14:textId="77777777" w:rsidR="00340F0A" w:rsidRPr="00340F0A" w:rsidRDefault="00340F0A" w:rsidP="00340F0A">
      <w:pPr>
        <w:spacing w:line="360" w:lineRule="auto"/>
        <w:jc w:val="both"/>
        <w:rPr>
          <w:rFonts w:ascii="Aptos" w:hAnsi="Aptos" w:cs="Times New Roman"/>
        </w:rPr>
      </w:pPr>
    </w:p>
    <w:p w14:paraId="2AA335A1" w14:textId="77777777" w:rsidR="00340F0A" w:rsidRPr="00340F0A" w:rsidRDefault="00340F0A" w:rsidP="00340F0A">
      <w:pPr>
        <w:spacing w:line="360" w:lineRule="auto"/>
        <w:jc w:val="both"/>
        <w:rPr>
          <w:rFonts w:ascii="Aptos" w:hAnsi="Aptos" w:cs="Times New Roman"/>
          <w:sz w:val="32"/>
          <w:szCs w:val="32"/>
        </w:rPr>
      </w:pPr>
      <w:r w:rsidRPr="00340F0A">
        <w:rPr>
          <w:rFonts w:ascii="Aptos" w:hAnsi="Aptos" w:cs="Times New Roman"/>
          <w:b/>
          <w:bCs/>
          <w:sz w:val="32"/>
          <w:szCs w:val="32"/>
        </w:rPr>
        <w:lastRenderedPageBreak/>
        <w:t>Recomendaciones</w:t>
      </w:r>
    </w:p>
    <w:p w14:paraId="524D2154" w14:textId="77777777" w:rsidR="00340F0A" w:rsidRPr="00340F0A" w:rsidRDefault="00340F0A" w:rsidP="00340F0A">
      <w:pPr>
        <w:numPr>
          <w:ilvl w:val="0"/>
          <w:numId w:val="6"/>
        </w:numPr>
        <w:spacing w:line="360" w:lineRule="auto"/>
        <w:jc w:val="both"/>
        <w:rPr>
          <w:rFonts w:ascii="Aptos" w:hAnsi="Aptos" w:cs="Times New Roman"/>
        </w:rPr>
      </w:pPr>
      <w:r w:rsidRPr="00340F0A">
        <w:rPr>
          <w:rFonts w:ascii="Aptos" w:hAnsi="Aptos" w:cs="Times New Roman"/>
        </w:rPr>
        <w:t>Actualizar la tabla de destinos económicos conforme a la Resolución 2025060163216. Esto garantizará que todos los destinos contemplados en el modelo LADM-COL versión 4.1 cuenten con una tarifa definida, evitando la pérdida de ingresos fiscales.</w:t>
      </w:r>
    </w:p>
    <w:p w14:paraId="74046410" w14:textId="77E59BB3" w:rsidR="00340F0A" w:rsidRPr="00340F0A" w:rsidRDefault="00340F0A" w:rsidP="00340F0A">
      <w:pPr>
        <w:numPr>
          <w:ilvl w:val="0"/>
          <w:numId w:val="6"/>
        </w:numPr>
        <w:spacing w:line="360" w:lineRule="auto"/>
        <w:jc w:val="both"/>
        <w:rPr>
          <w:rFonts w:ascii="Aptos" w:hAnsi="Aptos" w:cs="Times New Roman"/>
        </w:rPr>
      </w:pPr>
      <w:r w:rsidRPr="00340F0A">
        <w:rPr>
          <w:rFonts w:ascii="Aptos" w:hAnsi="Aptos" w:cs="Times New Roman"/>
        </w:rPr>
        <w:t xml:space="preserve">Definir reglas de aproximación, </w:t>
      </w:r>
      <w:r w:rsidRPr="00340F0A">
        <w:rPr>
          <w:rFonts w:ascii="Aptos" w:hAnsi="Aptos" w:cs="Times New Roman"/>
        </w:rPr>
        <w:t>cómputo</w:t>
      </w:r>
      <w:r w:rsidRPr="00340F0A">
        <w:rPr>
          <w:rFonts w:ascii="Aptos" w:hAnsi="Aptos" w:cs="Times New Roman"/>
        </w:rPr>
        <w:t xml:space="preserve"> y estadísticas para milajes con decimales</w:t>
      </w:r>
    </w:p>
    <w:p w14:paraId="677F9DC4" w14:textId="77777777" w:rsidR="00340F0A" w:rsidRPr="00340F0A" w:rsidRDefault="00340F0A" w:rsidP="00340F0A">
      <w:pPr>
        <w:numPr>
          <w:ilvl w:val="0"/>
          <w:numId w:val="6"/>
        </w:numPr>
        <w:spacing w:line="360" w:lineRule="auto"/>
        <w:jc w:val="both"/>
        <w:rPr>
          <w:rFonts w:ascii="Aptos" w:hAnsi="Aptos" w:cs="Times New Roman"/>
        </w:rPr>
      </w:pPr>
      <w:r w:rsidRPr="00340F0A">
        <w:rPr>
          <w:rFonts w:ascii="Aptos" w:hAnsi="Aptos" w:cs="Times New Roman"/>
        </w:rPr>
        <w:t>Precisar el predial compensatorio: fuente y certificación de la base (autoridad/gestor catastral), acto anual de liquidación, fórmula única, prevención de dobles cómputos, periodicidad de cobro y gestión de cartera; articular con catastro y con los proyectos de energía para trazabilidad.</w:t>
      </w:r>
    </w:p>
    <w:p w14:paraId="25D44DE2" w14:textId="77777777" w:rsidR="00340F0A" w:rsidRPr="00340F0A" w:rsidRDefault="00340F0A" w:rsidP="00340F0A">
      <w:pPr>
        <w:numPr>
          <w:ilvl w:val="0"/>
          <w:numId w:val="6"/>
        </w:numPr>
        <w:spacing w:line="360" w:lineRule="auto"/>
        <w:jc w:val="both"/>
        <w:rPr>
          <w:rFonts w:ascii="Aptos" w:hAnsi="Aptos"/>
        </w:rPr>
      </w:pPr>
      <w:r w:rsidRPr="00340F0A">
        <w:rPr>
          <w:rFonts w:ascii="Aptos" w:hAnsi="Aptos" w:cs="Times New Roman"/>
        </w:rPr>
        <w:t>Reglamentar la tarifa preferente por alto riesgo, inundación, clarificando el protocolo de certificación (Planeación/DAGRAN). Estableciendo vigencia anual, no retroactividad del beneficio, y un análisis de control del costo fiscal.</w:t>
      </w:r>
      <w:r w:rsidRPr="00340F0A">
        <w:rPr>
          <w:rFonts w:ascii="Aptos" w:hAnsi="Aptos"/>
          <w:lang w:eastAsia="es-MX"/>
        </w:rPr>
        <w:t xml:space="preserve"> </w:t>
      </w:r>
    </w:p>
    <w:p w14:paraId="597059D7" w14:textId="77777777" w:rsidR="00707E60" w:rsidRDefault="00707E60"/>
    <w:p w14:paraId="412E737A" w14:textId="77777777" w:rsidR="00707E60" w:rsidRDefault="00707E60"/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A1325" w14:textId="77777777" w:rsidR="00E52944" w:rsidRDefault="00E52944" w:rsidP="00707E60">
      <w:pPr>
        <w:spacing w:after="0" w:line="240" w:lineRule="auto"/>
      </w:pPr>
      <w:r>
        <w:separator/>
      </w:r>
    </w:p>
  </w:endnote>
  <w:endnote w:type="continuationSeparator" w:id="0">
    <w:p w14:paraId="6D450B39" w14:textId="77777777" w:rsidR="00E52944" w:rsidRDefault="00E52944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A65DF" w14:textId="77777777" w:rsidR="00E52944" w:rsidRDefault="00E52944" w:rsidP="00707E60">
      <w:pPr>
        <w:spacing w:after="0" w:line="240" w:lineRule="auto"/>
      </w:pPr>
      <w:r>
        <w:separator/>
      </w:r>
    </w:p>
  </w:footnote>
  <w:footnote w:type="continuationSeparator" w:id="0">
    <w:p w14:paraId="1547D5ED" w14:textId="77777777" w:rsidR="00E52944" w:rsidRDefault="00E52944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1C11A54F">
              <wp:simplePos x="0" y="0"/>
              <wp:positionH relativeFrom="column">
                <wp:posOffset>37238</wp:posOffset>
              </wp:positionH>
              <wp:positionV relativeFrom="paragraph">
                <wp:posOffset>-111760</wp:posOffset>
              </wp:positionV>
              <wp:extent cx="3256767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6767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EFA097" w14:textId="77777777" w:rsidR="00AA16EF" w:rsidRPr="00327CFA" w:rsidRDefault="00AA16EF" w:rsidP="00AA16EF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7B6D4E40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Ficha Municipio </w:t>
                          </w:r>
                          <w:r w:rsidR="004A3A13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Carolina del Príncipe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2.95pt;margin-top:-8.8pt;width:256.4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" filled="f" stroked="f">
              <v:textbox>
                <w:txbxContent>
                  <w:p w14:paraId="23EFA097" w14:textId="77777777" w:rsidR="00AA16EF" w:rsidRPr="00327CFA" w:rsidRDefault="00AA16EF" w:rsidP="00AA16EF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7B6D4E40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Ficha Municipio </w:t>
                    </w:r>
                    <w:r w:rsidR="004A3A13">
                      <w:rPr>
                        <w:color w:val="000000" w:themeColor="text1"/>
                        <w:sz w:val="28"/>
                        <w:szCs w:val="28"/>
                      </w:rPr>
                      <w:t>Carolina del Príncipe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59F7"/>
    <w:multiLevelType w:val="multilevel"/>
    <w:tmpl w:val="67CE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D2812"/>
    <w:multiLevelType w:val="multilevel"/>
    <w:tmpl w:val="DEE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684DE7"/>
    <w:multiLevelType w:val="multilevel"/>
    <w:tmpl w:val="D8F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8177E"/>
    <w:multiLevelType w:val="multilevel"/>
    <w:tmpl w:val="E5B2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04">
    <w:abstractNumId w:val="2"/>
  </w:num>
  <w:num w:numId="2" w16cid:durableId="1017347282">
    <w:abstractNumId w:val="3"/>
  </w:num>
  <w:num w:numId="3" w16cid:durableId="139880706">
    <w:abstractNumId w:val="5"/>
  </w:num>
  <w:num w:numId="4" w16cid:durableId="1002395279">
    <w:abstractNumId w:val="1"/>
  </w:num>
  <w:num w:numId="5" w16cid:durableId="74599418">
    <w:abstractNumId w:val="4"/>
  </w:num>
  <w:num w:numId="6" w16cid:durableId="738556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63ED2"/>
    <w:rsid w:val="00084B98"/>
    <w:rsid w:val="00120797"/>
    <w:rsid w:val="00134527"/>
    <w:rsid w:val="002038BA"/>
    <w:rsid w:val="00211E44"/>
    <w:rsid w:val="0023618C"/>
    <w:rsid w:val="003154C0"/>
    <w:rsid w:val="00340F0A"/>
    <w:rsid w:val="003650D0"/>
    <w:rsid w:val="003A7CEA"/>
    <w:rsid w:val="003E2241"/>
    <w:rsid w:val="004107CA"/>
    <w:rsid w:val="004A3A13"/>
    <w:rsid w:val="005422DF"/>
    <w:rsid w:val="005C20CA"/>
    <w:rsid w:val="005F7A75"/>
    <w:rsid w:val="00605B4C"/>
    <w:rsid w:val="00665846"/>
    <w:rsid w:val="006A249B"/>
    <w:rsid w:val="00707E60"/>
    <w:rsid w:val="007A49F6"/>
    <w:rsid w:val="00813F67"/>
    <w:rsid w:val="0084474E"/>
    <w:rsid w:val="00844CC8"/>
    <w:rsid w:val="00845F02"/>
    <w:rsid w:val="00912DFC"/>
    <w:rsid w:val="00963712"/>
    <w:rsid w:val="009714F4"/>
    <w:rsid w:val="009D1F9E"/>
    <w:rsid w:val="00A27409"/>
    <w:rsid w:val="00A456B7"/>
    <w:rsid w:val="00A55C9A"/>
    <w:rsid w:val="00A60686"/>
    <w:rsid w:val="00A96461"/>
    <w:rsid w:val="00AA16EF"/>
    <w:rsid w:val="00B037CD"/>
    <w:rsid w:val="00BE54CF"/>
    <w:rsid w:val="00C04706"/>
    <w:rsid w:val="00C942B0"/>
    <w:rsid w:val="00D37EF2"/>
    <w:rsid w:val="00DB14E5"/>
    <w:rsid w:val="00E20840"/>
    <w:rsid w:val="00E52944"/>
    <w:rsid w:val="00E608BE"/>
    <w:rsid w:val="00F27231"/>
    <w:rsid w:val="00F65205"/>
    <w:rsid w:val="00FA20FB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707E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E6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character" w:styleId="Strong">
    <w:name w:val="Strong"/>
    <w:basedOn w:val="DefaultParagraphFont"/>
    <w:uiPriority w:val="22"/>
    <w:qFormat/>
    <w:rsid w:val="009637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13</cp:revision>
  <dcterms:created xsi:type="dcterms:W3CDTF">2025-10-23T17:12:00Z</dcterms:created>
  <dcterms:modified xsi:type="dcterms:W3CDTF">2025-11-04T16:26:00Z</dcterms:modified>
</cp:coreProperties>
</file>