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1ECF7AEF"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544342">
        <w:rPr>
          <w:color w:val="000000" w:themeColor="text1"/>
          <w:sz w:val="44"/>
          <w:szCs w:val="44"/>
        </w:rPr>
        <w:t>Ceja del Tambo</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16DE3995" w14:textId="77777777" w:rsidR="00544342" w:rsidRPr="00544342" w:rsidRDefault="00544342" w:rsidP="00544342">
      <w:pPr>
        <w:spacing w:line="360" w:lineRule="auto"/>
        <w:jc w:val="both"/>
        <w:rPr>
          <w:rFonts w:ascii="Aptos" w:hAnsi="Aptos" w:cs="Times New Roman"/>
          <w:lang w:val="es-ES"/>
        </w:rPr>
      </w:pPr>
      <w:r w:rsidRPr="00544342">
        <w:rPr>
          <w:rFonts w:ascii="Aptos" w:hAnsi="Aptos" w:cs="Times New Roman"/>
        </w:rPr>
        <w:lastRenderedPageBreak/>
        <w:t xml:space="preserve">El estado actual de su normatividad tributaria se establece en los acuerdos: </w:t>
      </w:r>
      <w:r w:rsidRPr="00544342">
        <w:rPr>
          <w:rFonts w:ascii="Aptos" w:hAnsi="Aptos" w:cs="Times New Roman"/>
          <w:lang w:val="es-ES"/>
        </w:rPr>
        <w:t>Acuerdo 019 de 2021.</w:t>
      </w:r>
    </w:p>
    <w:p w14:paraId="6653B542" w14:textId="77777777" w:rsidR="00544342" w:rsidRPr="00544342" w:rsidRDefault="00544342" w:rsidP="00544342">
      <w:pPr>
        <w:spacing w:line="360" w:lineRule="auto"/>
        <w:jc w:val="both"/>
        <w:rPr>
          <w:rFonts w:ascii="Aptos" w:hAnsi="Aptos" w:cs="Times New Roman"/>
          <w:b/>
          <w:sz w:val="32"/>
          <w:szCs w:val="32"/>
          <w:lang w:val="es-ES"/>
        </w:rPr>
      </w:pPr>
      <w:r w:rsidRPr="00544342">
        <w:rPr>
          <w:rFonts w:ascii="Aptos" w:hAnsi="Aptos" w:cs="Times New Roman"/>
          <w:b/>
          <w:sz w:val="32"/>
          <w:szCs w:val="32"/>
          <w:lang w:val="es-ES"/>
        </w:rPr>
        <w:t>Hallazgos</w:t>
      </w:r>
    </w:p>
    <w:p w14:paraId="345DA4A8" w14:textId="77777777" w:rsidR="00544342" w:rsidRPr="00544342" w:rsidRDefault="00544342" w:rsidP="00544342">
      <w:pPr>
        <w:numPr>
          <w:ilvl w:val="0"/>
          <w:numId w:val="31"/>
        </w:numPr>
        <w:spacing w:line="360" w:lineRule="auto"/>
        <w:jc w:val="both"/>
        <w:rPr>
          <w:rFonts w:ascii="Aptos" w:hAnsi="Aptos" w:cs="Times New Roman"/>
          <w:lang w:val="es-ES"/>
        </w:rPr>
      </w:pPr>
      <w:r w:rsidRPr="00544342">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La Ceja del Tambo subsisten referencias a versiones previas (p. ej., Resolución 1149 de 2021), que deben adecuarse a la Resolución 1040 de 2023.</w:t>
      </w:r>
    </w:p>
    <w:p w14:paraId="0782884B" w14:textId="77777777" w:rsidR="00544342" w:rsidRPr="00544342" w:rsidRDefault="00544342" w:rsidP="00544342">
      <w:pPr>
        <w:numPr>
          <w:ilvl w:val="0"/>
          <w:numId w:val="31"/>
        </w:numPr>
        <w:spacing w:line="360" w:lineRule="auto"/>
        <w:jc w:val="both"/>
        <w:rPr>
          <w:rFonts w:ascii="Aptos" w:hAnsi="Aptos" w:cs="Times New Roman"/>
          <w:lang w:val="es-ES"/>
        </w:rPr>
      </w:pPr>
      <w:r w:rsidRPr="00544342">
        <w:rPr>
          <w:rFonts w:ascii="Aptos" w:hAnsi="Aptos" w:cs="Times New Roman"/>
          <w:lang w:val="es-ES"/>
        </w:rPr>
        <w:t>Estructura del IPU: el estatuto define autorización legal, carácter real, hecho generador, causación, base gravable y tarifas; estas se establecen por rangos de avalúo en UVT, con tarifa mínima 5‰ y máxima 33‰.</w:t>
      </w:r>
    </w:p>
    <w:p w14:paraId="35B34EC2" w14:textId="77777777" w:rsidR="00544342" w:rsidRPr="00544342" w:rsidRDefault="00544342" w:rsidP="00544342">
      <w:pPr>
        <w:numPr>
          <w:ilvl w:val="0"/>
          <w:numId w:val="31"/>
        </w:numPr>
        <w:spacing w:line="360" w:lineRule="auto"/>
        <w:jc w:val="both"/>
        <w:rPr>
          <w:rFonts w:ascii="Aptos" w:hAnsi="Aptos" w:cs="Times New Roman"/>
          <w:lang w:val="es-ES"/>
        </w:rPr>
      </w:pPr>
      <w:r w:rsidRPr="00544342">
        <w:rPr>
          <w:rFonts w:ascii="Aptos" w:hAnsi="Aptos" w:cs="Times New Roman"/>
          <w:lang w:val="es-ES"/>
        </w:rPr>
        <w:t>Límites al crecimiento del IPU: se acoge el artículo 6 de la Ley 44 de 1990 y la Ley 1995 de 2019.</w:t>
      </w:r>
    </w:p>
    <w:p w14:paraId="3AE13414" w14:textId="77777777" w:rsidR="00544342" w:rsidRPr="00544342" w:rsidRDefault="00544342" w:rsidP="00544342">
      <w:pPr>
        <w:numPr>
          <w:ilvl w:val="0"/>
          <w:numId w:val="31"/>
        </w:numPr>
        <w:spacing w:line="360" w:lineRule="auto"/>
        <w:jc w:val="both"/>
        <w:rPr>
          <w:rFonts w:ascii="Aptos" w:hAnsi="Aptos" w:cs="Times New Roman"/>
          <w:lang w:val="es-ES"/>
        </w:rPr>
      </w:pPr>
      <w:r w:rsidRPr="00544342">
        <w:rPr>
          <w:rFonts w:ascii="Aptos" w:hAnsi="Aptos" w:cs="Times New Roman"/>
          <w:lang w:val="es-ES"/>
        </w:rPr>
        <w:t>Determinación y pago: se adopta la determinación oficial vía factura; pago trimestral. Para predios con avalúo &lt; 100 UVT, se liquida la totalidad del impuesto en una sola factura y un único pago.</w:t>
      </w:r>
    </w:p>
    <w:p w14:paraId="6C97C7AB" w14:textId="77777777" w:rsidR="00544342" w:rsidRPr="00544342" w:rsidRDefault="00544342" w:rsidP="00544342">
      <w:pPr>
        <w:numPr>
          <w:ilvl w:val="0"/>
          <w:numId w:val="31"/>
        </w:numPr>
        <w:spacing w:line="360" w:lineRule="auto"/>
        <w:jc w:val="both"/>
        <w:rPr>
          <w:rFonts w:ascii="Aptos" w:hAnsi="Aptos" w:cs="Times New Roman"/>
          <w:lang w:val="es-ES"/>
        </w:rPr>
      </w:pPr>
      <w:r w:rsidRPr="00544342">
        <w:rPr>
          <w:rFonts w:ascii="Aptos" w:hAnsi="Aptos" w:cs="Times New Roman"/>
          <w:lang w:val="es-ES"/>
        </w:rPr>
        <w:t>Declaración anual del impuesto predial.</w:t>
      </w:r>
    </w:p>
    <w:p w14:paraId="15D3D440" w14:textId="77777777" w:rsidR="00544342" w:rsidRPr="00544342" w:rsidRDefault="00544342" w:rsidP="00544342">
      <w:pPr>
        <w:numPr>
          <w:ilvl w:val="0"/>
          <w:numId w:val="31"/>
        </w:numPr>
        <w:spacing w:line="360" w:lineRule="auto"/>
        <w:jc w:val="both"/>
        <w:rPr>
          <w:rFonts w:ascii="Aptos" w:hAnsi="Aptos" w:cs="Times New Roman"/>
          <w:lang w:val="es-ES"/>
        </w:rPr>
      </w:pPr>
      <w:r w:rsidRPr="00544342">
        <w:rPr>
          <w:rFonts w:ascii="Aptos" w:hAnsi="Aptos" w:cs="Times New Roman"/>
          <w:lang w:val="es-ES"/>
        </w:rPr>
        <w:t>Sobretasas: ambiental 1‰ sobre avalúo catastral; bomberil recae sobre el impuesto predial.</w:t>
      </w:r>
    </w:p>
    <w:p w14:paraId="7A8248BA" w14:textId="77777777" w:rsidR="00544342" w:rsidRPr="00544342" w:rsidRDefault="00544342" w:rsidP="00544342">
      <w:pPr>
        <w:numPr>
          <w:ilvl w:val="0"/>
          <w:numId w:val="31"/>
        </w:numPr>
        <w:spacing w:line="360" w:lineRule="auto"/>
        <w:jc w:val="both"/>
        <w:rPr>
          <w:rFonts w:ascii="Aptos" w:hAnsi="Aptos" w:cs="Times New Roman"/>
          <w:lang w:val="es-ES"/>
        </w:rPr>
      </w:pPr>
      <w:r w:rsidRPr="00544342">
        <w:rPr>
          <w:rFonts w:ascii="Aptos" w:hAnsi="Aptos" w:cs="Times New Roman"/>
          <w:lang w:val="es-ES"/>
        </w:rPr>
        <w:t>Alumbrado público: no se observa la creación de sobretasa calculada sobre el avalúo catastral.</w:t>
      </w:r>
    </w:p>
    <w:p w14:paraId="230897A9" w14:textId="122F019C" w:rsidR="00544342" w:rsidRPr="00544342" w:rsidRDefault="00544342" w:rsidP="00544342">
      <w:pPr>
        <w:numPr>
          <w:ilvl w:val="0"/>
          <w:numId w:val="31"/>
        </w:numPr>
        <w:spacing w:line="360" w:lineRule="auto"/>
        <w:jc w:val="both"/>
        <w:rPr>
          <w:rFonts w:ascii="Aptos" w:hAnsi="Aptos" w:cs="Times New Roman"/>
          <w:lang w:val="es-ES"/>
        </w:rPr>
      </w:pPr>
      <w:r w:rsidRPr="00544342">
        <w:rPr>
          <w:rFonts w:ascii="Aptos" w:hAnsi="Aptos" w:cs="Times New Roman"/>
          <w:lang w:val="es-ES"/>
        </w:rPr>
        <w:t>Régimen de beneficios: no se identifican en el acuerdo exenciones, gravámenes prohibidos ni exclusiones.</w:t>
      </w:r>
    </w:p>
    <w:p w14:paraId="1BAF0517" w14:textId="77777777" w:rsidR="00544342" w:rsidRPr="00544342" w:rsidRDefault="00544342" w:rsidP="00544342">
      <w:pPr>
        <w:spacing w:line="360" w:lineRule="auto"/>
        <w:jc w:val="both"/>
        <w:rPr>
          <w:rFonts w:ascii="Aptos" w:hAnsi="Aptos" w:cs="Times New Roman"/>
          <w:b/>
          <w:sz w:val="32"/>
          <w:szCs w:val="32"/>
          <w:lang w:val="es-ES"/>
        </w:rPr>
      </w:pPr>
      <w:r w:rsidRPr="00544342">
        <w:rPr>
          <w:rFonts w:ascii="Aptos" w:hAnsi="Aptos" w:cs="Times New Roman"/>
          <w:b/>
          <w:sz w:val="32"/>
          <w:szCs w:val="32"/>
          <w:lang w:val="es-ES"/>
        </w:rPr>
        <w:t>Recomendaciones</w:t>
      </w:r>
    </w:p>
    <w:p w14:paraId="2462FCE7" w14:textId="77777777" w:rsidR="00544342" w:rsidRPr="00544342" w:rsidRDefault="00544342" w:rsidP="00544342">
      <w:pPr>
        <w:numPr>
          <w:ilvl w:val="0"/>
          <w:numId w:val="32"/>
        </w:numPr>
        <w:spacing w:line="360" w:lineRule="auto"/>
        <w:jc w:val="both"/>
        <w:rPr>
          <w:rFonts w:ascii="Aptos" w:hAnsi="Aptos" w:cs="Times New Roman"/>
          <w:lang w:val="es-ES"/>
        </w:rPr>
      </w:pPr>
      <w:r w:rsidRPr="00544342">
        <w:rPr>
          <w:rFonts w:ascii="Aptos" w:hAnsi="Aptos" w:cs="Times New Roman"/>
          <w:lang w:val="es-ES"/>
        </w:rPr>
        <w:lastRenderedPageBreak/>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48CF094" w14:textId="77777777" w:rsidR="00544342" w:rsidRPr="00544342" w:rsidRDefault="00544342" w:rsidP="00544342">
      <w:pPr>
        <w:numPr>
          <w:ilvl w:val="0"/>
          <w:numId w:val="32"/>
        </w:numPr>
        <w:spacing w:line="360" w:lineRule="auto"/>
        <w:jc w:val="both"/>
        <w:rPr>
          <w:rFonts w:ascii="Aptos" w:hAnsi="Aptos" w:cs="Times New Roman"/>
          <w:lang w:val="es-ES"/>
        </w:rPr>
      </w:pPr>
      <w:r w:rsidRPr="00544342">
        <w:rPr>
          <w:rFonts w:ascii="Aptos" w:hAnsi="Aptos" w:cs="Times New Roman"/>
          <w:lang w:val="es-ES"/>
        </w:rPr>
        <w:t>Precisar y reglamentar los límites máximos anuales y las reglas de gradualidad del IPU, complementando la remisión al artículo 6 de la Ley 44 de 1990 y a la Ley 1995 de 2019 con una metodología de cálculo clara (base, período, escenarios de actualización y rezago), incluyendo el tratamiento de predios con liquidación única (&lt;100 UVT) y la coordinación con sobretasas que dependan del avalúo, para asegurar certeza y seguridad jurídica.</w:t>
      </w:r>
    </w:p>
    <w:p w14:paraId="2DF61C42" w14:textId="77777777" w:rsidR="00544342" w:rsidRPr="00544342" w:rsidRDefault="00544342" w:rsidP="00544342">
      <w:pPr>
        <w:numPr>
          <w:ilvl w:val="0"/>
          <w:numId w:val="32"/>
        </w:numPr>
        <w:spacing w:line="360" w:lineRule="auto"/>
        <w:jc w:val="both"/>
        <w:rPr>
          <w:rFonts w:ascii="Aptos" w:hAnsi="Aptos" w:cs="Times New Roman"/>
          <w:lang w:val="es-ES"/>
        </w:rPr>
      </w:pPr>
      <w:r w:rsidRPr="00544342">
        <w:rPr>
          <w:rFonts w:ascii="Aptos" w:hAnsi="Aptos" w:cs="Times New Roman"/>
          <w:lang w:val="es-ES"/>
        </w:rPr>
        <w:t>Definir expresamente el régimen de beneficios (o su inexistencia) en el estatuto: indicar si existen exenciones, gravámenes prohibidos o exclusiones y, en su caso, establecer criterios generales de elegibilidad y acreditación</w:t>
      </w:r>
    </w:p>
    <w:p w14:paraId="59F5D9C1" w14:textId="77777777" w:rsidR="00707E60" w:rsidRPr="00933720" w:rsidRDefault="00707E60">
      <w:pPr>
        <w:rPr>
          <w:lang w:val="es-ES"/>
        </w:rPr>
      </w:pPr>
    </w:p>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D2768" w14:textId="77777777" w:rsidR="00B34D3F" w:rsidRDefault="00B34D3F" w:rsidP="00707E60">
      <w:pPr>
        <w:spacing w:after="0" w:line="240" w:lineRule="auto"/>
      </w:pPr>
      <w:r>
        <w:separator/>
      </w:r>
    </w:p>
  </w:endnote>
  <w:endnote w:type="continuationSeparator" w:id="0">
    <w:p w14:paraId="53C6EB59" w14:textId="77777777" w:rsidR="00B34D3F" w:rsidRDefault="00B34D3F"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17310" w14:textId="77777777" w:rsidR="00B34D3F" w:rsidRDefault="00B34D3F" w:rsidP="00707E60">
      <w:pPr>
        <w:spacing w:after="0" w:line="240" w:lineRule="auto"/>
      </w:pPr>
      <w:r>
        <w:separator/>
      </w:r>
    </w:p>
  </w:footnote>
  <w:footnote w:type="continuationSeparator" w:id="0">
    <w:p w14:paraId="49D9F7BE" w14:textId="77777777" w:rsidR="00B34D3F" w:rsidRDefault="00B34D3F"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CFC83D5"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544342">
                            <w:rPr>
                              <w:color w:val="000000" w:themeColor="text1"/>
                              <w:sz w:val="28"/>
                              <w:szCs w:val="28"/>
                            </w:rPr>
                            <w:t>Ceja del Tambo</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2CFC83D5"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544342">
                      <w:rPr>
                        <w:color w:val="000000" w:themeColor="text1"/>
                        <w:sz w:val="28"/>
                        <w:szCs w:val="28"/>
                      </w:rPr>
                      <w:t>Ceja del Tambo</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8"/>
  </w:num>
  <w:num w:numId="2" w16cid:durableId="1017347282">
    <w:abstractNumId w:val="14"/>
  </w:num>
  <w:num w:numId="3" w16cid:durableId="44450645">
    <w:abstractNumId w:val="23"/>
  </w:num>
  <w:num w:numId="4" w16cid:durableId="1953855267">
    <w:abstractNumId w:val="0"/>
  </w:num>
  <w:num w:numId="5" w16cid:durableId="279457733">
    <w:abstractNumId w:val="10"/>
  </w:num>
  <w:num w:numId="6" w16cid:durableId="829055416">
    <w:abstractNumId w:val="1"/>
  </w:num>
  <w:num w:numId="7" w16cid:durableId="1974747392">
    <w:abstractNumId w:val="6"/>
  </w:num>
  <w:num w:numId="8" w16cid:durableId="1342120387">
    <w:abstractNumId w:val="19"/>
  </w:num>
  <w:num w:numId="9" w16cid:durableId="350257001">
    <w:abstractNumId w:val="5"/>
  </w:num>
  <w:num w:numId="10" w16cid:durableId="1078140204">
    <w:abstractNumId w:val="11"/>
  </w:num>
  <w:num w:numId="11" w16cid:durableId="1792938771">
    <w:abstractNumId w:val="12"/>
  </w:num>
  <w:num w:numId="12" w16cid:durableId="1526560268">
    <w:abstractNumId w:val="27"/>
  </w:num>
  <w:num w:numId="13" w16cid:durableId="684139451">
    <w:abstractNumId w:val="29"/>
  </w:num>
  <w:num w:numId="14" w16cid:durableId="2066485375">
    <w:abstractNumId w:val="30"/>
  </w:num>
  <w:num w:numId="15" w16cid:durableId="1048799774">
    <w:abstractNumId w:val="4"/>
  </w:num>
  <w:num w:numId="16" w16cid:durableId="763765178">
    <w:abstractNumId w:val="16"/>
  </w:num>
  <w:num w:numId="17" w16cid:durableId="312298011">
    <w:abstractNumId w:val="22"/>
  </w:num>
  <w:num w:numId="18" w16cid:durableId="1720469911">
    <w:abstractNumId w:val="17"/>
  </w:num>
  <w:num w:numId="19" w16cid:durableId="435371494">
    <w:abstractNumId w:val="20"/>
  </w:num>
  <w:num w:numId="20" w16cid:durableId="295719448">
    <w:abstractNumId w:val="21"/>
  </w:num>
  <w:num w:numId="21" w16cid:durableId="1577745992">
    <w:abstractNumId w:val="13"/>
  </w:num>
  <w:num w:numId="22" w16cid:durableId="1267925568">
    <w:abstractNumId w:val="25"/>
  </w:num>
  <w:num w:numId="23" w16cid:durableId="1861967186">
    <w:abstractNumId w:val="7"/>
  </w:num>
  <w:num w:numId="24" w16cid:durableId="601374337">
    <w:abstractNumId w:val="26"/>
  </w:num>
  <w:num w:numId="25" w16cid:durableId="1162700760">
    <w:abstractNumId w:val="28"/>
  </w:num>
  <w:num w:numId="26" w16cid:durableId="581332385">
    <w:abstractNumId w:val="15"/>
  </w:num>
  <w:num w:numId="27" w16cid:durableId="423887808">
    <w:abstractNumId w:val="24"/>
  </w:num>
  <w:num w:numId="28" w16cid:durableId="1186863597">
    <w:abstractNumId w:val="31"/>
  </w:num>
  <w:num w:numId="29" w16cid:durableId="340359362">
    <w:abstractNumId w:val="2"/>
  </w:num>
  <w:num w:numId="30" w16cid:durableId="1619264905">
    <w:abstractNumId w:val="3"/>
  </w:num>
  <w:num w:numId="31" w16cid:durableId="97989699">
    <w:abstractNumId w:val="9"/>
  </w:num>
  <w:num w:numId="32" w16cid:durableId="552068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120797"/>
    <w:rsid w:val="00134527"/>
    <w:rsid w:val="001C6F8E"/>
    <w:rsid w:val="00211E44"/>
    <w:rsid w:val="00231736"/>
    <w:rsid w:val="0023618C"/>
    <w:rsid w:val="0031580C"/>
    <w:rsid w:val="0034535B"/>
    <w:rsid w:val="003650D0"/>
    <w:rsid w:val="003A7CEA"/>
    <w:rsid w:val="003E2241"/>
    <w:rsid w:val="003E2F94"/>
    <w:rsid w:val="004107CA"/>
    <w:rsid w:val="005422DF"/>
    <w:rsid w:val="00544342"/>
    <w:rsid w:val="005C3FCA"/>
    <w:rsid w:val="005D08ED"/>
    <w:rsid w:val="005F7A75"/>
    <w:rsid w:val="00605B4C"/>
    <w:rsid w:val="006348C8"/>
    <w:rsid w:val="00665846"/>
    <w:rsid w:val="006A249B"/>
    <w:rsid w:val="006A428E"/>
    <w:rsid w:val="006E68D4"/>
    <w:rsid w:val="00701CC9"/>
    <w:rsid w:val="00707E60"/>
    <w:rsid w:val="00723620"/>
    <w:rsid w:val="00740366"/>
    <w:rsid w:val="0075330F"/>
    <w:rsid w:val="007C2E1E"/>
    <w:rsid w:val="00813F67"/>
    <w:rsid w:val="00844CC8"/>
    <w:rsid w:val="00845F02"/>
    <w:rsid w:val="00855468"/>
    <w:rsid w:val="00933720"/>
    <w:rsid w:val="009D1788"/>
    <w:rsid w:val="009D1F9E"/>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19</cp:revision>
  <dcterms:created xsi:type="dcterms:W3CDTF">2025-10-23T17:12:00Z</dcterms:created>
  <dcterms:modified xsi:type="dcterms:W3CDTF">2025-10-24T18:10:00Z</dcterms:modified>
</cp:coreProperties>
</file>