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0F34C0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E68D2">
        <w:rPr>
          <w:color w:val="000000" w:themeColor="text1"/>
          <w:sz w:val="44"/>
          <w:szCs w:val="44"/>
        </w:rPr>
        <w:t xml:space="preserve">Concordia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7B449963" w14:textId="77777777" w:rsidR="000E68D2" w:rsidRPr="000E68D2" w:rsidRDefault="000E68D2" w:rsidP="000E68D2">
      <w:pPr>
        <w:spacing w:line="360" w:lineRule="auto"/>
        <w:jc w:val="both"/>
        <w:rPr>
          <w:rFonts w:ascii="Aptos" w:hAnsi="Aptos" w:cs="Times New Roman"/>
        </w:rPr>
      </w:pPr>
      <w:r w:rsidRPr="000E68D2">
        <w:rPr>
          <w:rFonts w:ascii="Aptos" w:hAnsi="Aptos" w:cs="Times New Roman"/>
        </w:rPr>
        <w:lastRenderedPageBreak/>
        <w:t>El estado actual de su normatividad tributaria se establece en el Acuerdo 013 de 2021, modificado por el Acuerdo 007 del 30 de noviembre de 2023 y el Acuerdo 001 del 24 de enero de 2025.</w:t>
      </w:r>
    </w:p>
    <w:p w14:paraId="11BD736A" w14:textId="77777777" w:rsidR="000E68D2" w:rsidRPr="000E68D2" w:rsidRDefault="000E68D2" w:rsidP="000E68D2">
      <w:pPr>
        <w:spacing w:line="360" w:lineRule="auto"/>
        <w:jc w:val="both"/>
        <w:rPr>
          <w:rFonts w:ascii="Aptos" w:hAnsi="Aptos" w:cs="Times New Roman"/>
          <w:b/>
          <w:bCs/>
          <w:sz w:val="32"/>
          <w:szCs w:val="32"/>
        </w:rPr>
      </w:pPr>
      <w:r w:rsidRPr="000E68D2">
        <w:rPr>
          <w:rFonts w:ascii="Aptos" w:hAnsi="Aptos" w:cs="Times New Roman"/>
          <w:b/>
          <w:bCs/>
          <w:sz w:val="32"/>
          <w:szCs w:val="32"/>
        </w:rPr>
        <w:t>Hallazgos</w:t>
      </w:r>
    </w:p>
    <w:p w14:paraId="2C015425"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A05D07B"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Impuesto predial unificado en artículo 40: autorización legal, carácter real, elementos del tributo; base gravable referida a Resolución 070 de 2011 que debe reemplazarse por Resolución 1040 de 2023.</w:t>
      </w:r>
    </w:p>
    <w:p w14:paraId="5C1BCBA2"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Define sujetos pasivos y prohibiciones/no causaciones (bienes del municipio, bomberos, bienes de interés cultural, bienes entregados por obra pública, estaciones de policía, instituciones de educación pública, propiedades de entidades descentralizadas dedicadas a salud, acciones comunales).</w:t>
      </w:r>
    </w:p>
    <w:p w14:paraId="315FF499"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Sistema tarifario por estratos (5–33 por mil) que debe migrar a destinos económicos.</w:t>
      </w:r>
    </w:p>
    <w:p w14:paraId="493756E4"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Mínimo a pagar de 1,2 UVT, que desnaturaliza el IPU (que es avalúo × tarifa).</w:t>
      </w:r>
    </w:p>
    <w:p w14:paraId="6B0D4357"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Necesidad de verificar la estratificación (adecuación/actualización).</w:t>
      </w:r>
    </w:p>
    <w:p w14:paraId="76DD4AA0"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Límites: art. 6 Ley 44 de 1990.</w:t>
      </w:r>
    </w:p>
    <w:p w14:paraId="2284DD3B"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Factura como título ejecutivo; descuento hasta 15 % por pago anticipado (hasta último día de marzo).</w:t>
      </w:r>
    </w:p>
    <w:p w14:paraId="5E27D2B5"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Exenciones hasta por 5 años (iglesias, conservación de agua/fauna/flora, educación pública, centros de bienestar del anciano, juntas comunales); confusión entre prohibiciones y exenciones.</w:t>
      </w:r>
    </w:p>
    <w:p w14:paraId="38CB6563"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Sobretasa ambiental del 1,5 por mil.</w:t>
      </w:r>
    </w:p>
    <w:p w14:paraId="6DFD5590"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lastRenderedPageBreak/>
        <w:t>Doble esquema tarifario (matriz general y para predios actualizados 2021), generando posible confusión.</w:t>
      </w:r>
    </w:p>
    <w:p w14:paraId="2AC863E9"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Limitación por actualización/rezago: incremento del IPU del 20 % anual hasta llegar a avalúo × tarifa.</w:t>
      </w:r>
    </w:p>
    <w:p w14:paraId="64AD9904"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Límites del IPU con base en la Ley 1995.</w:t>
      </w:r>
    </w:p>
    <w:p w14:paraId="72D41135"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No se observa sobretasa de alumbrado público sobre avalúo.</w:t>
      </w:r>
    </w:p>
    <w:p w14:paraId="4CA50787" w14:textId="77777777" w:rsidR="000E68D2" w:rsidRPr="000E68D2" w:rsidRDefault="000E68D2" w:rsidP="000E68D2">
      <w:pPr>
        <w:numPr>
          <w:ilvl w:val="0"/>
          <w:numId w:val="41"/>
        </w:numPr>
        <w:spacing w:line="360" w:lineRule="auto"/>
        <w:jc w:val="both"/>
        <w:rPr>
          <w:rFonts w:ascii="Aptos" w:hAnsi="Aptos" w:cs="Times New Roman"/>
        </w:rPr>
      </w:pPr>
      <w:r w:rsidRPr="000E68D2">
        <w:rPr>
          <w:rFonts w:ascii="Aptos" w:hAnsi="Aptos" w:cs="Times New Roman"/>
        </w:rPr>
        <w:t>Sobretasa bomberil: 3 % del IPU para actualizados (2021 en adelante) y 5 % para no actualizados; la dualidad requiere regulación.</w:t>
      </w:r>
    </w:p>
    <w:p w14:paraId="721EA7D2" w14:textId="77777777" w:rsidR="000E68D2" w:rsidRPr="000E68D2" w:rsidRDefault="000E68D2" w:rsidP="000E68D2">
      <w:pPr>
        <w:numPr>
          <w:ilvl w:val="0"/>
          <w:numId w:val="41"/>
        </w:numPr>
        <w:spacing w:line="360" w:lineRule="auto"/>
        <w:jc w:val="both"/>
        <w:rPr>
          <w:rFonts w:ascii="Aptos" w:hAnsi="Aptos" w:cs="Times New Roman"/>
          <w:b/>
          <w:bCs/>
        </w:rPr>
      </w:pPr>
      <w:r w:rsidRPr="000E68D2">
        <w:rPr>
          <w:rFonts w:ascii="Aptos" w:hAnsi="Aptos" w:cs="Times New Roman"/>
        </w:rPr>
        <w:t xml:space="preserve">Exención inmuebles de propiedad de la Corporación Autónoma Regional con jurisdicción en el municipio, destinados a la conservación de hoyas, laderas, escarpas, canales y conducción de aguas, embalses, colectores de alcantarillado, tanques y plantas de purificación de aguas residuales; y áreas destinadas exclusivamente a la conservación de aguas, fauna y flora, previo desenglobe </w:t>
      </w:r>
    </w:p>
    <w:p w14:paraId="1D192511" w14:textId="77777777" w:rsidR="000E68D2" w:rsidRPr="000E68D2" w:rsidRDefault="000E68D2" w:rsidP="000E68D2">
      <w:pPr>
        <w:spacing w:line="360" w:lineRule="auto"/>
        <w:jc w:val="both"/>
        <w:rPr>
          <w:rFonts w:ascii="Aptos" w:hAnsi="Aptos" w:cs="Times New Roman"/>
        </w:rPr>
      </w:pPr>
    </w:p>
    <w:p w14:paraId="68AFC7BA" w14:textId="77777777" w:rsidR="000E68D2" w:rsidRPr="000E68D2" w:rsidRDefault="000E68D2" w:rsidP="000E68D2">
      <w:pPr>
        <w:spacing w:line="360" w:lineRule="auto"/>
        <w:jc w:val="both"/>
        <w:rPr>
          <w:rFonts w:ascii="Aptos" w:hAnsi="Aptos" w:cs="Times New Roman"/>
          <w:b/>
          <w:bCs/>
          <w:sz w:val="32"/>
          <w:szCs w:val="32"/>
        </w:rPr>
      </w:pPr>
      <w:r w:rsidRPr="000E68D2">
        <w:rPr>
          <w:rFonts w:ascii="Aptos" w:hAnsi="Aptos" w:cs="Times New Roman"/>
          <w:b/>
          <w:bCs/>
          <w:sz w:val="32"/>
          <w:szCs w:val="32"/>
        </w:rPr>
        <w:t>Recomendaciones</w:t>
      </w:r>
    </w:p>
    <w:p w14:paraId="3A8E2082"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981F151"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Sustituir la Resolución 070 de 2011 por la Resolución 1040 de 2023 en base gravable y procedimientos catastrales; migrar la matriz por estratos a matriz por destinos.</w:t>
      </w:r>
    </w:p>
    <w:p w14:paraId="0913A551"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Eliminar o redefinir el mínimo de 1,2 UVT, alineando el IPU a avalúo × tarifa (o, si se mantiene, tipificarlo como regla de liquidación coherente con los elementos del tributo).</w:t>
      </w:r>
    </w:p>
    <w:p w14:paraId="51B9D5B0"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Unificar los esquemas tarifarios (general vs. actualizados 2021), con normas transitorias claras para evitar duplicidades.</w:t>
      </w:r>
    </w:p>
    <w:p w14:paraId="6147A2CB"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lastRenderedPageBreak/>
        <w:t>Clarificar prohibiciones/no causaciones vs. exenciones, con requisitos, plazos y controles.</w:t>
      </w:r>
    </w:p>
    <w:p w14:paraId="143D2821"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Ajustar la sobretasa bomberil (3 % / 5 %): base, procedimiento, límites y tratamiento para actualizados/no actualizados.</w:t>
      </w:r>
    </w:p>
    <w:p w14:paraId="0939406D"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Confirmar o sustituir el rol de la estratificación al migrar a destinos económicos, manteniendo criterios objetivos.</w:t>
      </w:r>
    </w:p>
    <w:p w14:paraId="74693F2E" w14:textId="77777777" w:rsidR="000E68D2" w:rsidRPr="000E68D2" w:rsidRDefault="000E68D2" w:rsidP="000E68D2">
      <w:pPr>
        <w:numPr>
          <w:ilvl w:val="0"/>
          <w:numId w:val="42"/>
        </w:numPr>
        <w:spacing w:line="360" w:lineRule="auto"/>
        <w:jc w:val="both"/>
        <w:rPr>
          <w:rFonts w:ascii="Aptos" w:hAnsi="Aptos" w:cs="Times New Roman"/>
        </w:rPr>
      </w:pPr>
      <w:r w:rsidRPr="000E68D2">
        <w:rPr>
          <w:rFonts w:ascii="Aptos" w:hAnsi="Aptos" w:cs="Times New Roman"/>
        </w:rPr>
        <w:t>Consolidar límites y reglas de gradualidad por rezago y actualización, asegurando tope anual verificable y metodología para predios con procesos catastrales (en coherencia con las reglas ya previstas del 20 %).</w:t>
      </w:r>
    </w:p>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C598" w14:textId="77777777" w:rsidR="007D4299" w:rsidRDefault="007D4299" w:rsidP="00707E60">
      <w:pPr>
        <w:spacing w:after="0" w:line="240" w:lineRule="auto"/>
      </w:pPr>
      <w:r>
        <w:separator/>
      </w:r>
    </w:p>
  </w:endnote>
  <w:endnote w:type="continuationSeparator" w:id="0">
    <w:p w14:paraId="244CA4C4" w14:textId="77777777" w:rsidR="007D4299" w:rsidRDefault="007D4299"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51F3" w14:textId="77777777" w:rsidR="007D4299" w:rsidRDefault="007D4299" w:rsidP="00707E60">
      <w:pPr>
        <w:spacing w:after="0" w:line="240" w:lineRule="auto"/>
      </w:pPr>
      <w:r>
        <w:separator/>
      </w:r>
    </w:p>
  </w:footnote>
  <w:footnote w:type="continuationSeparator" w:id="0">
    <w:p w14:paraId="2D039960" w14:textId="77777777" w:rsidR="007D4299" w:rsidRDefault="007D4299"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E92AA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E68D2">
                            <w:rPr>
                              <w:color w:val="000000" w:themeColor="text1"/>
                              <w:sz w:val="28"/>
                              <w:szCs w:val="28"/>
                            </w:rPr>
                            <w:t>Concordia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E92AA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E68D2">
                      <w:rPr>
                        <w:color w:val="000000" w:themeColor="text1"/>
                        <w:sz w:val="28"/>
                        <w:szCs w:val="28"/>
                      </w:rPr>
                      <w:t>Concordia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A1F51"/>
    <w:multiLevelType w:val="multilevel"/>
    <w:tmpl w:val="239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C70384"/>
    <w:multiLevelType w:val="multilevel"/>
    <w:tmpl w:val="118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92601C"/>
    <w:multiLevelType w:val="multilevel"/>
    <w:tmpl w:val="95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B1FDE"/>
    <w:multiLevelType w:val="multilevel"/>
    <w:tmpl w:val="838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56292A"/>
    <w:multiLevelType w:val="multilevel"/>
    <w:tmpl w:val="D0A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A0050B"/>
    <w:multiLevelType w:val="multilevel"/>
    <w:tmpl w:val="2F4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9"/>
  </w:num>
  <w:num w:numId="2" w16cid:durableId="1017347282">
    <w:abstractNumId w:val="17"/>
  </w:num>
  <w:num w:numId="3" w16cid:durableId="44450645">
    <w:abstractNumId w:val="30"/>
  </w:num>
  <w:num w:numId="4" w16cid:durableId="1953855267">
    <w:abstractNumId w:val="0"/>
  </w:num>
  <w:num w:numId="5" w16cid:durableId="279457733">
    <w:abstractNumId w:val="11"/>
  </w:num>
  <w:num w:numId="6" w16cid:durableId="829055416">
    <w:abstractNumId w:val="1"/>
  </w:num>
  <w:num w:numId="7" w16cid:durableId="1974747392">
    <w:abstractNumId w:val="6"/>
  </w:num>
  <w:num w:numId="8" w16cid:durableId="1342120387">
    <w:abstractNumId w:val="23"/>
  </w:num>
  <w:num w:numId="9" w16cid:durableId="350257001">
    <w:abstractNumId w:val="5"/>
  </w:num>
  <w:num w:numId="10" w16cid:durableId="1078140204">
    <w:abstractNumId w:val="12"/>
  </w:num>
  <w:num w:numId="11" w16cid:durableId="1792938771">
    <w:abstractNumId w:val="13"/>
  </w:num>
  <w:num w:numId="12" w16cid:durableId="1526560268">
    <w:abstractNumId w:val="34"/>
  </w:num>
  <w:num w:numId="13" w16cid:durableId="684139451">
    <w:abstractNumId w:val="37"/>
  </w:num>
  <w:num w:numId="14" w16cid:durableId="2066485375">
    <w:abstractNumId w:val="38"/>
  </w:num>
  <w:num w:numId="15" w16cid:durableId="1048799774">
    <w:abstractNumId w:val="4"/>
  </w:num>
  <w:num w:numId="16" w16cid:durableId="763765178">
    <w:abstractNumId w:val="19"/>
  </w:num>
  <w:num w:numId="17" w16cid:durableId="312298011">
    <w:abstractNumId w:val="28"/>
  </w:num>
  <w:num w:numId="18" w16cid:durableId="1720469911">
    <w:abstractNumId w:val="21"/>
  </w:num>
  <w:num w:numId="19" w16cid:durableId="435371494">
    <w:abstractNumId w:val="25"/>
  </w:num>
  <w:num w:numId="20" w16cid:durableId="295719448">
    <w:abstractNumId w:val="26"/>
  </w:num>
  <w:num w:numId="21" w16cid:durableId="1577745992">
    <w:abstractNumId w:val="14"/>
  </w:num>
  <w:num w:numId="22" w16cid:durableId="1267925568">
    <w:abstractNumId w:val="32"/>
  </w:num>
  <w:num w:numId="23" w16cid:durableId="1861967186">
    <w:abstractNumId w:val="8"/>
  </w:num>
  <w:num w:numId="24" w16cid:durableId="601374337">
    <w:abstractNumId w:val="33"/>
  </w:num>
  <w:num w:numId="25" w16cid:durableId="1162700760">
    <w:abstractNumId w:val="36"/>
  </w:num>
  <w:num w:numId="26" w16cid:durableId="581332385">
    <w:abstractNumId w:val="18"/>
  </w:num>
  <w:num w:numId="27" w16cid:durableId="423887808">
    <w:abstractNumId w:val="31"/>
  </w:num>
  <w:num w:numId="28" w16cid:durableId="1186863597">
    <w:abstractNumId w:val="40"/>
  </w:num>
  <w:num w:numId="29" w16cid:durableId="340359362">
    <w:abstractNumId w:val="2"/>
  </w:num>
  <w:num w:numId="30" w16cid:durableId="1619264905">
    <w:abstractNumId w:val="3"/>
  </w:num>
  <w:num w:numId="31" w16cid:durableId="97989699">
    <w:abstractNumId w:val="10"/>
  </w:num>
  <w:num w:numId="32" w16cid:durableId="55206863">
    <w:abstractNumId w:val="22"/>
  </w:num>
  <w:num w:numId="33" w16cid:durableId="1697734897">
    <w:abstractNumId w:val="20"/>
  </w:num>
  <w:num w:numId="34" w16cid:durableId="720978602">
    <w:abstractNumId w:val="15"/>
  </w:num>
  <w:num w:numId="35" w16cid:durableId="1909030509">
    <w:abstractNumId w:val="27"/>
  </w:num>
  <w:num w:numId="36" w16cid:durableId="1979188356">
    <w:abstractNumId w:val="39"/>
  </w:num>
  <w:num w:numId="37" w16cid:durableId="1274362992">
    <w:abstractNumId w:val="29"/>
  </w:num>
  <w:num w:numId="38" w16cid:durableId="208806111">
    <w:abstractNumId w:val="16"/>
  </w:num>
  <w:num w:numId="39" w16cid:durableId="180818957">
    <w:abstractNumId w:val="24"/>
  </w:num>
  <w:num w:numId="40" w16cid:durableId="607664061">
    <w:abstractNumId w:val="35"/>
  </w:num>
  <w:num w:numId="41" w16cid:durableId="735667257">
    <w:abstractNumId w:val="41"/>
  </w:num>
  <w:num w:numId="42" w16cid:durableId="341517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641E7"/>
    <w:rsid w:val="00084B98"/>
    <w:rsid w:val="000D7615"/>
    <w:rsid w:val="000E68D2"/>
    <w:rsid w:val="00120797"/>
    <w:rsid w:val="00134527"/>
    <w:rsid w:val="001C6F8E"/>
    <w:rsid w:val="001E6E73"/>
    <w:rsid w:val="00211E44"/>
    <w:rsid w:val="00231736"/>
    <w:rsid w:val="0023618C"/>
    <w:rsid w:val="002A510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7D4299"/>
    <w:rsid w:val="00813F67"/>
    <w:rsid w:val="00844CC8"/>
    <w:rsid w:val="00845F02"/>
    <w:rsid w:val="00855468"/>
    <w:rsid w:val="00933720"/>
    <w:rsid w:val="009501F5"/>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31F2"/>
    <w:rsid w:val="00C4509C"/>
    <w:rsid w:val="00C942B0"/>
    <w:rsid w:val="00D37EF2"/>
    <w:rsid w:val="00DB14E5"/>
    <w:rsid w:val="00DD0016"/>
    <w:rsid w:val="00E20762"/>
    <w:rsid w:val="00E20840"/>
    <w:rsid w:val="00E608BE"/>
    <w:rsid w:val="00E85012"/>
    <w:rsid w:val="00F27231"/>
    <w:rsid w:val="00F65205"/>
    <w:rsid w:val="00F92AA2"/>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24</cp:revision>
  <dcterms:created xsi:type="dcterms:W3CDTF">2025-10-23T17:12:00Z</dcterms:created>
  <dcterms:modified xsi:type="dcterms:W3CDTF">2025-10-24T18:25:00Z</dcterms:modified>
</cp:coreProperties>
</file>