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24C321DE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6D6CFE05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280F9A">
        <w:rPr>
          <w:color w:val="000000" w:themeColor="text1"/>
          <w:sz w:val="44"/>
          <w:szCs w:val="44"/>
        </w:rPr>
        <w:t>E</w:t>
      </w:r>
      <w:r w:rsidR="0096088F">
        <w:rPr>
          <w:color w:val="000000" w:themeColor="text1"/>
          <w:sz w:val="44"/>
          <w:szCs w:val="44"/>
        </w:rPr>
        <w:t>l Bagre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49F517D0" w14:textId="77777777" w:rsidR="005B772A" w:rsidRPr="005B772A" w:rsidRDefault="005B772A" w:rsidP="005B772A">
      <w:pPr>
        <w:spacing w:line="360" w:lineRule="auto"/>
        <w:jc w:val="both"/>
        <w:rPr>
          <w:rFonts w:ascii="Aptos" w:hAnsi="Aptos" w:cs="Times New Roman"/>
        </w:rPr>
      </w:pPr>
      <w:r w:rsidRPr="005B772A">
        <w:rPr>
          <w:rFonts w:ascii="Aptos" w:hAnsi="Aptos" w:cs="Times New Roman"/>
        </w:rPr>
        <w:lastRenderedPageBreak/>
        <w:t>El estado actual de su normatividad tributaria se establece en Acuerdo 013 de 2020, modificado por el Acuerdo 06 de 2022.</w:t>
      </w:r>
    </w:p>
    <w:p w14:paraId="5A9F559C" w14:textId="77777777" w:rsidR="005B772A" w:rsidRPr="002A4167" w:rsidRDefault="005B772A" w:rsidP="005B772A">
      <w:pPr>
        <w:spacing w:line="360" w:lineRule="auto"/>
        <w:jc w:val="both"/>
        <w:rPr>
          <w:rFonts w:ascii="Aptos" w:hAnsi="Aptos" w:cs="Times New Roman"/>
          <w:sz w:val="32"/>
          <w:szCs w:val="32"/>
        </w:rPr>
      </w:pPr>
      <w:r w:rsidRPr="002A4167">
        <w:rPr>
          <w:rFonts w:ascii="Aptos" w:hAnsi="Aptos" w:cs="Times New Roman"/>
          <w:b/>
          <w:bCs/>
          <w:sz w:val="32"/>
          <w:szCs w:val="32"/>
        </w:rPr>
        <w:t xml:space="preserve">Hallazgos </w:t>
      </w:r>
    </w:p>
    <w:p w14:paraId="2DA433B7" w14:textId="77777777" w:rsidR="005B772A" w:rsidRPr="005B772A" w:rsidRDefault="005B772A" w:rsidP="005B772A">
      <w:pPr>
        <w:numPr>
          <w:ilvl w:val="0"/>
          <w:numId w:val="17"/>
        </w:numPr>
        <w:spacing w:line="360" w:lineRule="auto"/>
        <w:jc w:val="both"/>
        <w:rPr>
          <w:rFonts w:ascii="Aptos" w:hAnsi="Aptos" w:cs="Times New Roman"/>
        </w:rPr>
      </w:pPr>
      <w:r w:rsidRPr="005B772A">
        <w:rPr>
          <w:rFonts w:ascii="Aptos" w:hAnsi="Aptos" w:cs="Times New Roman"/>
        </w:rPr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0F60B87E" w14:textId="1174E5AC" w:rsidR="005B772A" w:rsidRPr="005B772A" w:rsidRDefault="005B772A" w:rsidP="005B772A">
      <w:pPr>
        <w:numPr>
          <w:ilvl w:val="0"/>
          <w:numId w:val="17"/>
        </w:numPr>
        <w:spacing w:line="360" w:lineRule="auto"/>
        <w:jc w:val="both"/>
        <w:rPr>
          <w:rFonts w:ascii="Aptos" w:hAnsi="Aptos" w:cs="Times New Roman"/>
        </w:rPr>
      </w:pPr>
      <w:r w:rsidRPr="005B772A">
        <w:rPr>
          <w:rFonts w:ascii="Aptos" w:hAnsi="Aptos" w:cs="Times New Roman"/>
        </w:rPr>
        <w:t xml:space="preserve">Los elementos del impuesto están definidos (naturaleza real, sujetos —incluidos fiduciarios y concesionarios—, hecho generador por existencia del predio, base por avalúo o </w:t>
      </w:r>
      <w:r w:rsidRPr="005B772A">
        <w:rPr>
          <w:rFonts w:ascii="Aptos" w:hAnsi="Aptos" w:cs="Times New Roman"/>
        </w:rPr>
        <w:t>auto avalúo</w:t>
      </w:r>
      <w:r w:rsidRPr="005B772A">
        <w:rPr>
          <w:rFonts w:ascii="Aptos" w:hAnsi="Aptos" w:cs="Times New Roman"/>
        </w:rPr>
        <w:t xml:space="preserve"> con aprobación catastral, causación anual, facturación con mérito ejecutivo), pero falta un procedimiento operativo para aprobar y verificar el </w:t>
      </w:r>
      <w:r w:rsidRPr="005B772A">
        <w:rPr>
          <w:rFonts w:ascii="Aptos" w:hAnsi="Aptos" w:cs="Times New Roman"/>
        </w:rPr>
        <w:t>auto avalúo</w:t>
      </w:r>
      <w:r w:rsidRPr="005B772A">
        <w:rPr>
          <w:rFonts w:ascii="Aptos" w:hAnsi="Aptos" w:cs="Times New Roman"/>
        </w:rPr>
        <w:t xml:space="preserve"> (autoridad, requisitos, plazos y efectos).</w:t>
      </w:r>
    </w:p>
    <w:p w14:paraId="0C92786B" w14:textId="77777777" w:rsidR="005B772A" w:rsidRPr="005B772A" w:rsidRDefault="005B772A" w:rsidP="005B772A">
      <w:pPr>
        <w:numPr>
          <w:ilvl w:val="0"/>
          <w:numId w:val="17"/>
        </w:numPr>
        <w:spacing w:line="360" w:lineRule="auto"/>
        <w:jc w:val="both"/>
        <w:rPr>
          <w:rFonts w:ascii="Aptos" w:hAnsi="Aptos" w:cs="Times New Roman"/>
        </w:rPr>
      </w:pPr>
      <w:r w:rsidRPr="005B772A">
        <w:rPr>
          <w:rFonts w:ascii="Aptos" w:hAnsi="Aptos" w:cs="Times New Roman"/>
        </w:rPr>
        <w:t>La clasificación de destinaciones (ajustada en 2022) amplía categorías habitacionales, productivas, de infraestructura y lotes; sin embargo, hay zonas de solapamiento (p. ej., agrícola vs. agropecuario; forestal vs. reserva forestal; infraestructura hidráulica vs. saneamiento básico) y no existe una regla expresa de prelación para usos múltiples.</w:t>
      </w:r>
    </w:p>
    <w:p w14:paraId="6A224EA6" w14:textId="77777777" w:rsidR="005B772A" w:rsidRPr="005B772A" w:rsidRDefault="005B772A" w:rsidP="005B772A">
      <w:pPr>
        <w:numPr>
          <w:ilvl w:val="0"/>
          <w:numId w:val="17"/>
        </w:numPr>
        <w:spacing w:line="360" w:lineRule="auto"/>
        <w:jc w:val="both"/>
        <w:rPr>
          <w:rFonts w:ascii="Aptos" w:hAnsi="Aptos" w:cs="Times New Roman"/>
        </w:rPr>
      </w:pPr>
      <w:r w:rsidRPr="005B772A">
        <w:rPr>
          <w:rFonts w:ascii="Aptos" w:hAnsi="Aptos" w:cs="Times New Roman"/>
        </w:rPr>
        <w:t>El diseño tarifario mezcla tramos por UVT con tarifas planas aplicables a “TODOS” los rangos en varias destinaciones, sin motivación técnica explícita. Esa heterogeneidad afecta la equidad horizontal y dificulta la aplicación progresiva.</w:t>
      </w:r>
    </w:p>
    <w:p w14:paraId="413035D5" w14:textId="77777777" w:rsidR="005B772A" w:rsidRPr="005B772A" w:rsidRDefault="005B772A" w:rsidP="005B772A">
      <w:pPr>
        <w:numPr>
          <w:ilvl w:val="0"/>
          <w:numId w:val="17"/>
        </w:numPr>
        <w:spacing w:line="360" w:lineRule="auto"/>
        <w:jc w:val="both"/>
        <w:rPr>
          <w:rFonts w:ascii="Aptos" w:hAnsi="Aptos" w:cs="Times New Roman"/>
        </w:rPr>
      </w:pPr>
      <w:r w:rsidRPr="005B772A">
        <w:rPr>
          <w:rFonts w:ascii="Aptos" w:hAnsi="Aptos" w:cs="Times New Roman"/>
        </w:rPr>
        <w:t xml:space="preserve">El límite al incremento del impuesto adopta IPC + 8 p.p. para predios actualizados y 50 % para no actualizados, con un catálogo amplio de exclusiones y facultades para ajustar incrementos. </w:t>
      </w:r>
    </w:p>
    <w:p w14:paraId="718E0C0F" w14:textId="77777777" w:rsidR="005B772A" w:rsidRPr="005B772A" w:rsidRDefault="005B772A" w:rsidP="005B772A">
      <w:pPr>
        <w:numPr>
          <w:ilvl w:val="0"/>
          <w:numId w:val="17"/>
        </w:numPr>
        <w:spacing w:line="360" w:lineRule="auto"/>
        <w:jc w:val="both"/>
        <w:rPr>
          <w:rFonts w:ascii="Aptos" w:hAnsi="Aptos" w:cs="Times New Roman"/>
        </w:rPr>
      </w:pPr>
      <w:r w:rsidRPr="005B772A">
        <w:rPr>
          <w:rFonts w:ascii="Aptos" w:hAnsi="Aptos" w:cs="Times New Roman"/>
        </w:rPr>
        <w:t>En el predial compensatorio del sector eléctrico se menciona un factor del 150 % sobre el IPU; se requiere mayor precisión sobre la base de cálculo (avalúo promedio certificado), la articulación con la tarifa aplicable y la conciliación contable con el IPU.</w:t>
      </w:r>
    </w:p>
    <w:p w14:paraId="717199ED" w14:textId="77777777" w:rsidR="005B772A" w:rsidRPr="005B772A" w:rsidRDefault="005B772A" w:rsidP="005B772A">
      <w:pPr>
        <w:numPr>
          <w:ilvl w:val="0"/>
          <w:numId w:val="17"/>
        </w:numPr>
        <w:spacing w:line="360" w:lineRule="auto"/>
        <w:jc w:val="both"/>
        <w:rPr>
          <w:rFonts w:ascii="Aptos" w:hAnsi="Aptos" w:cs="Times New Roman"/>
        </w:rPr>
      </w:pPr>
      <w:r w:rsidRPr="005B772A">
        <w:rPr>
          <w:rFonts w:ascii="Aptos" w:hAnsi="Aptos" w:cs="Times New Roman"/>
        </w:rPr>
        <w:t>La sobretasa ambiental fue establecida sobre el 1,5 × 1.000 sobre avalúo.</w:t>
      </w:r>
    </w:p>
    <w:p w14:paraId="2E2B0A51" w14:textId="77777777" w:rsidR="005B772A" w:rsidRPr="005B772A" w:rsidRDefault="005B772A" w:rsidP="005B772A">
      <w:pPr>
        <w:numPr>
          <w:ilvl w:val="0"/>
          <w:numId w:val="17"/>
        </w:numPr>
        <w:spacing w:line="360" w:lineRule="auto"/>
        <w:jc w:val="both"/>
        <w:rPr>
          <w:rFonts w:ascii="Aptos" w:hAnsi="Aptos" w:cs="Times New Roman"/>
        </w:rPr>
      </w:pPr>
      <w:r w:rsidRPr="005B772A">
        <w:rPr>
          <w:rFonts w:ascii="Aptos" w:hAnsi="Aptos" w:cs="Times New Roman"/>
        </w:rPr>
        <w:t xml:space="preserve">Los incentivos ambientales y de uso del suelo (descuento proporcional por áreas cultivadas, bosques y conservación de nacimientos/fuentes hídricas, con certificación de UMATA y </w:t>
      </w:r>
      <w:r w:rsidRPr="005B772A">
        <w:rPr>
          <w:rFonts w:ascii="Aptos" w:hAnsi="Aptos" w:cs="Times New Roman"/>
        </w:rPr>
        <w:lastRenderedPageBreak/>
        <w:t>compromiso mínimo de cinco años) carecen de un protocolo conjunto UMATA–Hacienda para verificación en campo, georreferenciación, cálculo del porcentaje en usos mixtos, renovación y pérdida del beneficio.</w:t>
      </w:r>
    </w:p>
    <w:p w14:paraId="44378A96" w14:textId="77777777" w:rsidR="005B772A" w:rsidRPr="005B772A" w:rsidRDefault="005B772A" w:rsidP="005B772A">
      <w:pPr>
        <w:numPr>
          <w:ilvl w:val="0"/>
          <w:numId w:val="17"/>
        </w:numPr>
        <w:spacing w:line="360" w:lineRule="auto"/>
        <w:jc w:val="both"/>
        <w:rPr>
          <w:rFonts w:ascii="Aptos" w:hAnsi="Aptos" w:cs="Times New Roman"/>
        </w:rPr>
      </w:pPr>
      <w:r w:rsidRPr="005B772A">
        <w:rPr>
          <w:rFonts w:ascii="Aptos" w:hAnsi="Aptos" w:cs="Times New Roman"/>
        </w:rPr>
        <w:t>El capítulo que reúne “prohibido gravamen” y exentos mezcla figuras con efectos distintos (exclusiones del hecho generador, exenciones y prohibiciones), lo que facilita errores de clasificación y aplicación.</w:t>
      </w:r>
    </w:p>
    <w:p w14:paraId="21CC6912" w14:textId="77777777" w:rsidR="005B772A" w:rsidRPr="002A4167" w:rsidRDefault="005B772A" w:rsidP="005B772A">
      <w:pPr>
        <w:spacing w:line="360" w:lineRule="auto"/>
        <w:jc w:val="both"/>
        <w:rPr>
          <w:rFonts w:ascii="Aptos" w:hAnsi="Aptos" w:cs="Times New Roman"/>
          <w:sz w:val="32"/>
          <w:szCs w:val="32"/>
        </w:rPr>
      </w:pPr>
      <w:r w:rsidRPr="002A4167">
        <w:rPr>
          <w:rFonts w:ascii="Aptos" w:hAnsi="Aptos" w:cs="Times New Roman"/>
          <w:b/>
          <w:bCs/>
          <w:sz w:val="32"/>
          <w:szCs w:val="32"/>
        </w:rPr>
        <w:t xml:space="preserve">Recomendaciones </w:t>
      </w:r>
    </w:p>
    <w:p w14:paraId="39E7A371" w14:textId="77777777" w:rsidR="005B772A" w:rsidRPr="005B772A" w:rsidRDefault="005B772A" w:rsidP="005B772A">
      <w:pPr>
        <w:numPr>
          <w:ilvl w:val="0"/>
          <w:numId w:val="18"/>
        </w:numPr>
        <w:spacing w:line="360" w:lineRule="auto"/>
        <w:jc w:val="both"/>
        <w:rPr>
          <w:rFonts w:ascii="Aptos" w:hAnsi="Aptos" w:cs="Times New Roman"/>
        </w:rPr>
      </w:pPr>
      <w:r w:rsidRPr="005B772A">
        <w:rPr>
          <w:rFonts w:ascii="Aptos" w:hAnsi="Aptos" w:cs="Times New Roman"/>
        </w:rPr>
        <w:t>Actualizar integralmente la normativa local para armonizarla con la Resolución 1040 de 2023 (catastro) y con la Resolución 2025060163216, incorporando la tabla de destinos económicos conforme a LADM-COL v4.1, de modo que cada destino tenga tarifa definida y aplicable.</w:t>
      </w:r>
    </w:p>
    <w:p w14:paraId="0675FFF8" w14:textId="26F1C8E4" w:rsidR="005B772A" w:rsidRPr="005B772A" w:rsidRDefault="005B772A" w:rsidP="005B772A">
      <w:pPr>
        <w:numPr>
          <w:ilvl w:val="0"/>
          <w:numId w:val="18"/>
        </w:numPr>
        <w:spacing w:line="360" w:lineRule="auto"/>
        <w:jc w:val="both"/>
        <w:rPr>
          <w:rFonts w:ascii="Aptos" w:hAnsi="Aptos" w:cs="Times New Roman"/>
        </w:rPr>
      </w:pPr>
      <w:r w:rsidRPr="005B772A">
        <w:rPr>
          <w:rFonts w:ascii="Aptos" w:hAnsi="Aptos" w:cs="Times New Roman"/>
        </w:rPr>
        <w:t xml:space="preserve">Expedir un procedimiento de </w:t>
      </w:r>
      <w:r w:rsidRPr="005B772A">
        <w:rPr>
          <w:rFonts w:ascii="Aptos" w:hAnsi="Aptos" w:cs="Times New Roman"/>
        </w:rPr>
        <w:t>auto avalúo</w:t>
      </w:r>
      <w:r w:rsidRPr="005B772A">
        <w:rPr>
          <w:rFonts w:ascii="Aptos" w:hAnsi="Aptos" w:cs="Times New Roman"/>
        </w:rPr>
        <w:t>: autoridad competente, documentos mínimos, validaciones contra base catastral, plazos de decisión.</w:t>
      </w:r>
    </w:p>
    <w:p w14:paraId="77E97F5E" w14:textId="264F9B50" w:rsidR="005B772A" w:rsidRPr="005B772A" w:rsidRDefault="005B772A" w:rsidP="005B772A">
      <w:pPr>
        <w:numPr>
          <w:ilvl w:val="0"/>
          <w:numId w:val="18"/>
        </w:numPr>
        <w:spacing w:line="360" w:lineRule="auto"/>
        <w:jc w:val="both"/>
        <w:rPr>
          <w:rFonts w:ascii="Aptos" w:hAnsi="Aptos" w:cs="Times New Roman"/>
        </w:rPr>
      </w:pPr>
      <w:r w:rsidRPr="005B772A">
        <w:rPr>
          <w:rFonts w:ascii="Aptos" w:hAnsi="Aptos" w:cs="Times New Roman"/>
        </w:rPr>
        <w:t xml:space="preserve">Sustentar técnicamente los </w:t>
      </w:r>
      <w:r w:rsidRPr="005B772A">
        <w:rPr>
          <w:rFonts w:ascii="Aptos" w:hAnsi="Aptos" w:cs="Times New Roman"/>
        </w:rPr>
        <w:t>milajes</w:t>
      </w:r>
      <w:r w:rsidRPr="005B772A">
        <w:rPr>
          <w:rFonts w:ascii="Aptos" w:hAnsi="Aptos" w:cs="Times New Roman"/>
        </w:rPr>
        <w:t xml:space="preserve"> (capacidad contributiva, costos y externalidades) y, cuando corresponda, migrar de tarifas planas a tramos/bandas con reglas de transición claras.</w:t>
      </w:r>
    </w:p>
    <w:p w14:paraId="53C834C7" w14:textId="77777777" w:rsidR="005B772A" w:rsidRPr="005B772A" w:rsidRDefault="005B772A" w:rsidP="005B772A">
      <w:pPr>
        <w:numPr>
          <w:ilvl w:val="0"/>
          <w:numId w:val="18"/>
        </w:numPr>
        <w:spacing w:line="360" w:lineRule="auto"/>
        <w:jc w:val="both"/>
        <w:rPr>
          <w:rFonts w:ascii="Aptos" w:hAnsi="Aptos" w:cs="Times New Roman"/>
        </w:rPr>
      </w:pPr>
      <w:r w:rsidRPr="005B772A">
        <w:rPr>
          <w:rFonts w:ascii="Aptos" w:hAnsi="Aptos" w:cs="Times New Roman"/>
        </w:rPr>
        <w:t>Ordenar la aplicación de los límites al impuesto con una metodología de transición por etapas, ejemplos operativos y tratamiento del rezago catastral cuando la actualización se ejecute por sectores o ciclos, reduciendo excepciones discrecionales.</w:t>
      </w:r>
    </w:p>
    <w:p w14:paraId="429DAB42" w14:textId="77777777" w:rsidR="005B772A" w:rsidRPr="005B772A" w:rsidRDefault="005B772A" w:rsidP="005B772A">
      <w:pPr>
        <w:numPr>
          <w:ilvl w:val="0"/>
          <w:numId w:val="18"/>
        </w:numPr>
        <w:spacing w:line="360" w:lineRule="auto"/>
        <w:jc w:val="both"/>
        <w:rPr>
          <w:rFonts w:ascii="Aptos" w:hAnsi="Aptos" w:cs="Times New Roman"/>
        </w:rPr>
      </w:pPr>
      <w:r w:rsidRPr="005B772A">
        <w:rPr>
          <w:rFonts w:ascii="Aptos" w:hAnsi="Aptos" w:cs="Times New Roman"/>
        </w:rPr>
        <w:t>Reordenar el capítulo de “prohibido gravamen” y exentos separando claramente exclusiones del hecho generador, exenciones y prohibiciones; definir para cada figura el acto de reconocimiento, la autoridad competente y los efectos jurídicos, para una aplicación uniforme.</w:t>
      </w:r>
    </w:p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8FA39" w14:textId="77777777" w:rsidR="00944C88" w:rsidRDefault="00944C88" w:rsidP="00707E60">
      <w:pPr>
        <w:spacing w:after="0" w:line="240" w:lineRule="auto"/>
      </w:pPr>
      <w:r>
        <w:separator/>
      </w:r>
    </w:p>
  </w:endnote>
  <w:endnote w:type="continuationSeparator" w:id="0">
    <w:p w14:paraId="71DBC5A1" w14:textId="77777777" w:rsidR="00944C88" w:rsidRDefault="00944C88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4F9C1" w14:textId="77777777" w:rsidR="00944C88" w:rsidRDefault="00944C88" w:rsidP="00707E60">
      <w:pPr>
        <w:spacing w:after="0" w:line="240" w:lineRule="auto"/>
      </w:pPr>
      <w:r>
        <w:separator/>
      </w:r>
    </w:p>
  </w:footnote>
  <w:footnote w:type="continuationSeparator" w:id="0">
    <w:p w14:paraId="014F4DEC" w14:textId="77777777" w:rsidR="00944C88" w:rsidRDefault="00944C88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0F3242CC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Municipio </w:t>
                          </w:r>
                          <w:r w:rsidR="00280F9A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E</w:t>
                          </w:r>
                          <w:r w:rsidR="0096088F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l Bagre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0F3242CC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Municipio </w:t>
                    </w:r>
                    <w:r w:rsidR="00280F9A">
                      <w:rPr>
                        <w:color w:val="000000" w:themeColor="text1"/>
                        <w:sz w:val="28"/>
                        <w:szCs w:val="28"/>
                      </w:rPr>
                      <w:t>E</w:t>
                    </w:r>
                    <w:r w:rsidR="0096088F">
                      <w:rPr>
                        <w:color w:val="000000" w:themeColor="text1"/>
                        <w:sz w:val="28"/>
                        <w:szCs w:val="28"/>
                      </w:rPr>
                      <w:t>l Bagre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9CD"/>
    <w:multiLevelType w:val="multilevel"/>
    <w:tmpl w:val="51B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B14A8"/>
    <w:multiLevelType w:val="multilevel"/>
    <w:tmpl w:val="2C2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C7C0D"/>
    <w:multiLevelType w:val="multilevel"/>
    <w:tmpl w:val="AA5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25BA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AA28CE"/>
    <w:multiLevelType w:val="multilevel"/>
    <w:tmpl w:val="373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86842"/>
    <w:multiLevelType w:val="multilevel"/>
    <w:tmpl w:val="E24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6A27F7"/>
    <w:multiLevelType w:val="multilevel"/>
    <w:tmpl w:val="BAEE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C70AF"/>
    <w:multiLevelType w:val="multilevel"/>
    <w:tmpl w:val="982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CE0E1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246065"/>
    <w:multiLevelType w:val="multilevel"/>
    <w:tmpl w:val="AD1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C0014"/>
    <w:multiLevelType w:val="multilevel"/>
    <w:tmpl w:val="3A6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9C7F00"/>
    <w:multiLevelType w:val="multilevel"/>
    <w:tmpl w:val="F27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527C6"/>
    <w:multiLevelType w:val="multilevel"/>
    <w:tmpl w:val="2DE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9E3568"/>
    <w:multiLevelType w:val="multilevel"/>
    <w:tmpl w:val="412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7"/>
  </w:num>
  <w:num w:numId="2" w16cid:durableId="1017347282">
    <w:abstractNumId w:val="10"/>
  </w:num>
  <w:num w:numId="3" w16cid:durableId="44450645">
    <w:abstractNumId w:val="12"/>
  </w:num>
  <w:num w:numId="4" w16cid:durableId="1953855267">
    <w:abstractNumId w:val="1"/>
  </w:num>
  <w:num w:numId="5" w16cid:durableId="1281302291">
    <w:abstractNumId w:val="4"/>
  </w:num>
  <w:num w:numId="6" w16cid:durableId="198319745">
    <w:abstractNumId w:val="11"/>
  </w:num>
  <w:num w:numId="7" w16cid:durableId="1222793921">
    <w:abstractNumId w:val="2"/>
  </w:num>
  <w:num w:numId="8" w16cid:durableId="1663466582">
    <w:abstractNumId w:val="13"/>
  </w:num>
  <w:num w:numId="9" w16cid:durableId="1601404175">
    <w:abstractNumId w:val="17"/>
  </w:num>
  <w:num w:numId="10" w16cid:durableId="1696037023">
    <w:abstractNumId w:val="15"/>
  </w:num>
  <w:num w:numId="11" w16cid:durableId="1726874531">
    <w:abstractNumId w:val="3"/>
  </w:num>
  <w:num w:numId="12" w16cid:durableId="1308511851">
    <w:abstractNumId w:val="8"/>
  </w:num>
  <w:num w:numId="13" w16cid:durableId="470710239">
    <w:abstractNumId w:val="6"/>
  </w:num>
  <w:num w:numId="14" w16cid:durableId="335232453">
    <w:abstractNumId w:val="0"/>
  </w:num>
  <w:num w:numId="15" w16cid:durableId="864756385">
    <w:abstractNumId w:val="14"/>
  </w:num>
  <w:num w:numId="16" w16cid:durableId="1808812370">
    <w:abstractNumId w:val="5"/>
  </w:num>
  <w:num w:numId="17" w16cid:durableId="230238942">
    <w:abstractNumId w:val="16"/>
  </w:num>
  <w:num w:numId="18" w16cid:durableId="17509554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84B98"/>
    <w:rsid w:val="00087C16"/>
    <w:rsid w:val="000C2026"/>
    <w:rsid w:val="00120797"/>
    <w:rsid w:val="00134527"/>
    <w:rsid w:val="0016665C"/>
    <w:rsid w:val="001B556D"/>
    <w:rsid w:val="00211E44"/>
    <w:rsid w:val="0023618C"/>
    <w:rsid w:val="00280F9A"/>
    <w:rsid w:val="002A4167"/>
    <w:rsid w:val="003650D0"/>
    <w:rsid w:val="003A7CEA"/>
    <w:rsid w:val="003E2241"/>
    <w:rsid w:val="004107CA"/>
    <w:rsid w:val="005422DF"/>
    <w:rsid w:val="005B772A"/>
    <w:rsid w:val="005D08ED"/>
    <w:rsid w:val="005F7A75"/>
    <w:rsid w:val="00605B4C"/>
    <w:rsid w:val="00656CE7"/>
    <w:rsid w:val="00665846"/>
    <w:rsid w:val="006A249B"/>
    <w:rsid w:val="00707E60"/>
    <w:rsid w:val="00745C46"/>
    <w:rsid w:val="00813F67"/>
    <w:rsid w:val="00844CC8"/>
    <w:rsid w:val="00845F02"/>
    <w:rsid w:val="00852ADC"/>
    <w:rsid w:val="00855468"/>
    <w:rsid w:val="008A01C7"/>
    <w:rsid w:val="00944C88"/>
    <w:rsid w:val="0096088F"/>
    <w:rsid w:val="009D1F9E"/>
    <w:rsid w:val="00A27409"/>
    <w:rsid w:val="00A407A7"/>
    <w:rsid w:val="00A456B7"/>
    <w:rsid w:val="00A55C9A"/>
    <w:rsid w:val="00A60686"/>
    <w:rsid w:val="00A96461"/>
    <w:rsid w:val="00AA7DD4"/>
    <w:rsid w:val="00BC7035"/>
    <w:rsid w:val="00C04706"/>
    <w:rsid w:val="00C942B0"/>
    <w:rsid w:val="00D37EF2"/>
    <w:rsid w:val="00DB14E5"/>
    <w:rsid w:val="00DD0016"/>
    <w:rsid w:val="00E20840"/>
    <w:rsid w:val="00E608BE"/>
    <w:rsid w:val="00F27231"/>
    <w:rsid w:val="00F65205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13</cp:revision>
  <dcterms:created xsi:type="dcterms:W3CDTF">2025-10-23T17:12:00Z</dcterms:created>
  <dcterms:modified xsi:type="dcterms:W3CDTF">2025-11-04T16:07:00Z</dcterms:modified>
</cp:coreProperties>
</file>