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33D69322"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294C4D">
        <w:rPr>
          <w:color w:val="000000" w:themeColor="text1"/>
          <w:sz w:val="44"/>
          <w:szCs w:val="44"/>
        </w:rPr>
        <w:t>Giraldo</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4C38D0FC" w14:textId="77777777" w:rsidR="00443757" w:rsidRPr="00443757" w:rsidRDefault="00443757" w:rsidP="00443757">
      <w:pPr>
        <w:spacing w:line="360" w:lineRule="auto"/>
        <w:ind w:left="360"/>
        <w:jc w:val="both"/>
        <w:rPr>
          <w:rFonts w:ascii="Aptos" w:hAnsi="Aptos" w:cs="Times New Roman"/>
        </w:rPr>
      </w:pPr>
      <w:r w:rsidRPr="00443757">
        <w:rPr>
          <w:rFonts w:ascii="Aptos" w:hAnsi="Aptos" w:cs="Times New Roman"/>
        </w:rPr>
        <w:lastRenderedPageBreak/>
        <w:t>El estado actual de su normatividad tributaria se establece en el Acuerdo 023 de 2020, modificado por el Acuerdo 012 de 2021.</w:t>
      </w:r>
    </w:p>
    <w:p w14:paraId="3AB62585" w14:textId="77777777" w:rsidR="00443757" w:rsidRPr="00443757" w:rsidRDefault="00443757" w:rsidP="00443757">
      <w:pPr>
        <w:spacing w:line="360" w:lineRule="auto"/>
        <w:jc w:val="both"/>
        <w:rPr>
          <w:rFonts w:ascii="Aptos" w:hAnsi="Aptos" w:cs="Times New Roman"/>
          <w:b/>
          <w:bCs/>
          <w:sz w:val="32"/>
          <w:szCs w:val="32"/>
        </w:rPr>
      </w:pPr>
      <w:r w:rsidRPr="00443757">
        <w:rPr>
          <w:rFonts w:ascii="Aptos" w:hAnsi="Aptos" w:cs="Times New Roman"/>
          <w:b/>
          <w:bCs/>
          <w:sz w:val="32"/>
          <w:szCs w:val="32"/>
        </w:rPr>
        <w:t>Hallazgos</w:t>
      </w:r>
    </w:p>
    <w:p w14:paraId="78CA2E36" w14:textId="77777777" w:rsidR="00443757" w:rsidRPr="00443757" w:rsidRDefault="00443757" w:rsidP="00443757">
      <w:pPr>
        <w:numPr>
          <w:ilvl w:val="0"/>
          <w:numId w:val="23"/>
        </w:numPr>
        <w:spacing w:line="360" w:lineRule="auto"/>
        <w:jc w:val="both"/>
        <w:rPr>
          <w:rFonts w:ascii="Aptos" w:hAnsi="Aptos" w:cs="Times New Roman"/>
        </w:rPr>
      </w:pPr>
      <w:r w:rsidRPr="00443757">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F5BD815" w14:textId="77777777" w:rsidR="00443757" w:rsidRPr="00443757" w:rsidRDefault="00443757" w:rsidP="00443757">
      <w:pPr>
        <w:numPr>
          <w:ilvl w:val="0"/>
          <w:numId w:val="23"/>
        </w:numPr>
        <w:spacing w:line="360" w:lineRule="auto"/>
        <w:jc w:val="both"/>
        <w:rPr>
          <w:rFonts w:ascii="Aptos" w:hAnsi="Aptos" w:cs="Times New Roman"/>
        </w:rPr>
      </w:pPr>
      <w:r w:rsidRPr="00443757">
        <w:rPr>
          <w:rFonts w:ascii="Aptos" w:hAnsi="Aptos" w:cs="Times New Roman"/>
        </w:rPr>
        <w:t>Elementos del IPU completos (naturaleza real, sujeto activo, sujetos pasivos —incluye fiduciarios, patrimonios autónomos y tenedores en concesión—, hecho generador, base y causación). Determinación oficial mediante documento de cobro con mérito ejecutivo; pago trimestral y pronto pago definidos anualmente.</w:t>
      </w:r>
    </w:p>
    <w:p w14:paraId="017D913F" w14:textId="77777777" w:rsidR="00443757" w:rsidRPr="00443757" w:rsidRDefault="00443757" w:rsidP="00443757">
      <w:pPr>
        <w:numPr>
          <w:ilvl w:val="0"/>
          <w:numId w:val="23"/>
        </w:numPr>
        <w:spacing w:line="360" w:lineRule="auto"/>
        <w:jc w:val="both"/>
        <w:rPr>
          <w:rFonts w:ascii="Aptos" w:hAnsi="Aptos" w:cs="Times New Roman"/>
        </w:rPr>
      </w:pPr>
      <w:r w:rsidRPr="00443757">
        <w:rPr>
          <w:rFonts w:ascii="Aptos" w:hAnsi="Aptos" w:cs="Times New Roman"/>
        </w:rPr>
        <w:t>Catastral y procedimientos: persisten remisiones a criterios previos (p. ej., Resolución 070 de 2011) pese a la actualización de 2021; se requiere consolidación terminológica con catastro multipropósito.</w:t>
      </w:r>
    </w:p>
    <w:p w14:paraId="4939DBDA" w14:textId="77777777" w:rsidR="00443757" w:rsidRPr="00443757" w:rsidRDefault="00443757" w:rsidP="00443757">
      <w:pPr>
        <w:numPr>
          <w:ilvl w:val="0"/>
          <w:numId w:val="23"/>
        </w:numPr>
        <w:spacing w:line="360" w:lineRule="auto"/>
        <w:jc w:val="both"/>
        <w:rPr>
          <w:rFonts w:ascii="Aptos" w:hAnsi="Aptos" w:cs="Times New Roman"/>
        </w:rPr>
      </w:pPr>
      <w:r w:rsidRPr="00443757">
        <w:rPr>
          <w:rFonts w:ascii="Aptos" w:hAnsi="Aptos" w:cs="Times New Roman"/>
        </w:rPr>
        <w:t>Matriz tarifaria: tarifas ordinarias 5–16×1000 y lotes urbanizables/urbanizados no construidos hasta 33×1000; la modificación de 2021 amplía destinaciones (infraestructura hidráulica, transporte, seguridad, funerarios). Falta homologación plena destino-tarifa y regla operativa para usos mixtos.</w:t>
      </w:r>
    </w:p>
    <w:p w14:paraId="4BB41C5A" w14:textId="77777777" w:rsidR="00443757" w:rsidRPr="00443757" w:rsidRDefault="00443757" w:rsidP="00443757">
      <w:pPr>
        <w:numPr>
          <w:ilvl w:val="0"/>
          <w:numId w:val="23"/>
        </w:numPr>
        <w:spacing w:line="360" w:lineRule="auto"/>
        <w:jc w:val="both"/>
        <w:rPr>
          <w:rFonts w:ascii="Aptos" w:hAnsi="Aptos" w:cs="Times New Roman"/>
        </w:rPr>
      </w:pPr>
      <w:r w:rsidRPr="00443757">
        <w:rPr>
          <w:rFonts w:ascii="Aptos" w:hAnsi="Aptos" w:cs="Times New Roman"/>
        </w:rPr>
        <w:t xml:space="preserve">Límites: tope IPC + 8 p.p. para actualizados y 50 % para no actualizados, con excepciones. </w:t>
      </w:r>
    </w:p>
    <w:p w14:paraId="57B08C0D" w14:textId="77777777" w:rsidR="00443757" w:rsidRPr="00443757" w:rsidRDefault="00443757" w:rsidP="00443757">
      <w:pPr>
        <w:numPr>
          <w:ilvl w:val="0"/>
          <w:numId w:val="23"/>
        </w:numPr>
        <w:spacing w:line="360" w:lineRule="auto"/>
        <w:jc w:val="both"/>
        <w:rPr>
          <w:rFonts w:ascii="Aptos" w:hAnsi="Aptos" w:cs="Times New Roman"/>
        </w:rPr>
      </w:pPr>
      <w:r w:rsidRPr="00443757">
        <w:rPr>
          <w:rFonts w:ascii="Aptos" w:hAnsi="Aptos" w:cs="Times New Roman"/>
        </w:rPr>
        <w:t>Pronto pago: porcentaje y ventana temporal quedan a definición anual del Alcalde.</w:t>
      </w:r>
    </w:p>
    <w:p w14:paraId="2AF9A305" w14:textId="77777777" w:rsidR="00443757" w:rsidRPr="00443757" w:rsidRDefault="00443757" w:rsidP="00443757">
      <w:pPr>
        <w:numPr>
          <w:ilvl w:val="0"/>
          <w:numId w:val="23"/>
        </w:numPr>
        <w:spacing w:line="360" w:lineRule="auto"/>
        <w:jc w:val="both"/>
        <w:rPr>
          <w:rFonts w:ascii="Aptos" w:hAnsi="Aptos" w:cs="Times New Roman"/>
        </w:rPr>
      </w:pPr>
      <w:r w:rsidRPr="00443757">
        <w:rPr>
          <w:rFonts w:ascii="Aptos" w:hAnsi="Aptos" w:cs="Times New Roman"/>
        </w:rPr>
        <w:t>Sobretasa ambiental: esquema sobre avalúo 1,5×1000 cobrado con el IPU y giro trimestral.</w:t>
      </w:r>
    </w:p>
    <w:p w14:paraId="45EFB78E" w14:textId="77777777" w:rsidR="00443757" w:rsidRPr="00443757" w:rsidRDefault="00443757" w:rsidP="00443757">
      <w:pPr>
        <w:numPr>
          <w:ilvl w:val="0"/>
          <w:numId w:val="23"/>
        </w:numPr>
        <w:spacing w:line="360" w:lineRule="auto"/>
        <w:jc w:val="both"/>
        <w:rPr>
          <w:rFonts w:ascii="Aptos" w:hAnsi="Aptos" w:cs="Times New Roman"/>
        </w:rPr>
      </w:pPr>
      <w:r w:rsidRPr="00443757">
        <w:rPr>
          <w:rFonts w:ascii="Aptos" w:hAnsi="Aptos" w:cs="Times New Roman"/>
        </w:rPr>
        <w:t xml:space="preserve">Exención para predios destinados a conservación y para áreas que el Concejo reglamente exclusivamente para conservación de aguas, fauna y flora; descuentos proporcionales por área cultivada, bosques naturales o protección de nacimientos y fuentes hídricas con certificación. </w:t>
      </w:r>
    </w:p>
    <w:p w14:paraId="18619A08" w14:textId="77777777" w:rsidR="00443757" w:rsidRPr="00443757" w:rsidRDefault="00443757" w:rsidP="00443757">
      <w:pPr>
        <w:spacing w:line="360" w:lineRule="auto"/>
        <w:jc w:val="both"/>
        <w:rPr>
          <w:rFonts w:ascii="Aptos" w:hAnsi="Aptos" w:cs="Times New Roman"/>
          <w:b/>
          <w:bCs/>
          <w:sz w:val="32"/>
          <w:szCs w:val="32"/>
        </w:rPr>
      </w:pPr>
      <w:r w:rsidRPr="00443757">
        <w:rPr>
          <w:rFonts w:ascii="Aptos" w:hAnsi="Aptos" w:cs="Times New Roman"/>
          <w:b/>
          <w:bCs/>
          <w:sz w:val="32"/>
          <w:szCs w:val="32"/>
        </w:rPr>
        <w:lastRenderedPageBreak/>
        <w:t>Recomendaciones</w:t>
      </w:r>
    </w:p>
    <w:p w14:paraId="735ED768" w14:textId="77777777" w:rsidR="00443757" w:rsidRPr="00443757" w:rsidRDefault="00443757" w:rsidP="00443757">
      <w:pPr>
        <w:numPr>
          <w:ilvl w:val="0"/>
          <w:numId w:val="24"/>
        </w:numPr>
        <w:spacing w:line="360" w:lineRule="auto"/>
        <w:jc w:val="both"/>
        <w:rPr>
          <w:rFonts w:ascii="Aptos" w:hAnsi="Aptos" w:cs="Times New Roman"/>
        </w:rPr>
      </w:pPr>
      <w:r w:rsidRPr="00443757">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187A9AF5" w14:textId="77777777" w:rsidR="00443757" w:rsidRPr="00443757" w:rsidRDefault="00443757" w:rsidP="00443757">
      <w:pPr>
        <w:numPr>
          <w:ilvl w:val="0"/>
          <w:numId w:val="24"/>
        </w:numPr>
        <w:spacing w:line="360" w:lineRule="auto"/>
        <w:jc w:val="both"/>
        <w:rPr>
          <w:rFonts w:ascii="Aptos" w:hAnsi="Aptos" w:cs="Times New Roman"/>
        </w:rPr>
      </w:pPr>
      <w:r w:rsidRPr="00443757">
        <w:rPr>
          <w:rFonts w:ascii="Aptos" w:hAnsi="Aptos" w:cs="Times New Roman"/>
        </w:rPr>
        <w:t>Consolidar en una sola disposición las reglas de sujetos en concesión y patrimonios autónomos; precisar obligaciones formales para facilitar fiscalización y trazabilidad.</w:t>
      </w:r>
    </w:p>
    <w:p w14:paraId="32976B51" w14:textId="77777777" w:rsidR="00443757" w:rsidRPr="00443757" w:rsidRDefault="00443757" w:rsidP="00443757">
      <w:pPr>
        <w:numPr>
          <w:ilvl w:val="0"/>
          <w:numId w:val="24"/>
        </w:numPr>
        <w:spacing w:line="360" w:lineRule="auto"/>
        <w:jc w:val="both"/>
        <w:rPr>
          <w:rFonts w:ascii="Aptos" w:hAnsi="Aptos" w:cs="Times New Roman"/>
        </w:rPr>
      </w:pPr>
      <w:r w:rsidRPr="00443757">
        <w:rPr>
          <w:rFonts w:ascii="Aptos" w:hAnsi="Aptos" w:cs="Times New Roman"/>
        </w:rPr>
        <w:t>Sustituir remisiones operativas antiguas por la terminología y procesos vigentes, alineando clasificación, predominio y mutaciones con el esquema multipropósito.</w:t>
      </w:r>
    </w:p>
    <w:p w14:paraId="75FCD2BF" w14:textId="77777777" w:rsidR="00443757" w:rsidRPr="00443757" w:rsidRDefault="00443757" w:rsidP="00443757">
      <w:pPr>
        <w:numPr>
          <w:ilvl w:val="0"/>
          <w:numId w:val="24"/>
        </w:numPr>
        <w:spacing w:line="360" w:lineRule="auto"/>
        <w:jc w:val="both"/>
        <w:rPr>
          <w:rFonts w:ascii="Aptos" w:hAnsi="Aptos" w:cs="Times New Roman"/>
        </w:rPr>
      </w:pPr>
      <w:r w:rsidRPr="00443757">
        <w:rPr>
          <w:rFonts w:ascii="Aptos" w:hAnsi="Aptos" w:cs="Times New Roman"/>
        </w:rPr>
        <w:t>Definir metodología de transición y gradualidad (por etapas) para evitar choques cuando coinciden actualización, cambio de destino y topes; explicitar el orden de aplicación de excepciones.</w:t>
      </w:r>
    </w:p>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3592C" w14:textId="77777777" w:rsidR="00E17F13" w:rsidRDefault="00E17F13" w:rsidP="00707E60">
      <w:pPr>
        <w:spacing w:after="0" w:line="240" w:lineRule="auto"/>
      </w:pPr>
      <w:r>
        <w:separator/>
      </w:r>
    </w:p>
  </w:endnote>
  <w:endnote w:type="continuationSeparator" w:id="0">
    <w:p w14:paraId="4814E71E" w14:textId="77777777" w:rsidR="00E17F13" w:rsidRDefault="00E17F13"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78C36" w14:textId="77777777" w:rsidR="00E17F13" w:rsidRDefault="00E17F13" w:rsidP="00707E60">
      <w:pPr>
        <w:spacing w:after="0" w:line="240" w:lineRule="auto"/>
      </w:pPr>
      <w:r>
        <w:separator/>
      </w:r>
    </w:p>
  </w:footnote>
  <w:footnote w:type="continuationSeparator" w:id="0">
    <w:p w14:paraId="3C81B31A" w14:textId="77777777" w:rsidR="00E17F13" w:rsidRDefault="00E17F13"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13EE330F"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294C4D">
                            <w:rPr>
                              <w:color w:val="000000" w:themeColor="text1"/>
                              <w:sz w:val="28"/>
                              <w:szCs w:val="28"/>
                            </w:rPr>
                            <w:t>Giraldo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13EE330F"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294C4D">
                      <w:rPr>
                        <w:color w:val="000000" w:themeColor="text1"/>
                        <w:sz w:val="28"/>
                        <w:szCs w:val="28"/>
                      </w:rPr>
                      <w:t>Giraldo</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73120"/>
    <w:multiLevelType w:val="multilevel"/>
    <w:tmpl w:val="C36A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74EFB"/>
    <w:multiLevelType w:val="multilevel"/>
    <w:tmpl w:val="8CCE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22EFE"/>
    <w:multiLevelType w:val="hybridMultilevel"/>
    <w:tmpl w:val="23D2AE2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F9506A"/>
    <w:multiLevelType w:val="multilevel"/>
    <w:tmpl w:val="78B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07E97"/>
    <w:multiLevelType w:val="hybridMultilevel"/>
    <w:tmpl w:val="5FAA7C9C"/>
    <w:lvl w:ilvl="0" w:tplc="0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58340287"/>
    <w:multiLevelType w:val="hybridMultilevel"/>
    <w:tmpl w:val="300EF58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15:restartNumberingAfterBreak="0">
    <w:nsid w:val="59711C35"/>
    <w:multiLevelType w:val="hybridMultilevel"/>
    <w:tmpl w:val="B17C976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185ACC"/>
    <w:multiLevelType w:val="multilevel"/>
    <w:tmpl w:val="255C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7"/>
  </w:num>
  <w:num w:numId="2" w16cid:durableId="1017347282">
    <w:abstractNumId w:val="12"/>
  </w:num>
  <w:num w:numId="3" w16cid:durableId="44450645">
    <w:abstractNumId w:val="19"/>
  </w:num>
  <w:num w:numId="4" w16cid:durableId="1953855267">
    <w:abstractNumId w:val="0"/>
  </w:num>
  <w:num w:numId="5" w16cid:durableId="279457733">
    <w:abstractNumId w:val="9"/>
  </w:num>
  <w:num w:numId="6" w16cid:durableId="829055416">
    <w:abstractNumId w:val="1"/>
  </w:num>
  <w:num w:numId="7" w16cid:durableId="1974747392">
    <w:abstractNumId w:val="6"/>
  </w:num>
  <w:num w:numId="8" w16cid:durableId="1342120387">
    <w:abstractNumId w:val="14"/>
  </w:num>
  <w:num w:numId="9" w16cid:durableId="350257001">
    <w:abstractNumId w:val="5"/>
  </w:num>
  <w:num w:numId="10" w16cid:durableId="1078140204">
    <w:abstractNumId w:val="10"/>
  </w:num>
  <w:num w:numId="11" w16cid:durableId="1792938771">
    <w:abstractNumId w:val="11"/>
  </w:num>
  <w:num w:numId="12" w16cid:durableId="1526560268">
    <w:abstractNumId w:val="21"/>
  </w:num>
  <w:num w:numId="13" w16cid:durableId="684139451">
    <w:abstractNumId w:val="22"/>
  </w:num>
  <w:num w:numId="14" w16cid:durableId="2066485375">
    <w:abstractNumId w:val="23"/>
  </w:num>
  <w:num w:numId="15" w16cid:durableId="1048799774">
    <w:abstractNumId w:val="4"/>
  </w:num>
  <w:num w:numId="16" w16cid:durableId="763765178">
    <w:abstractNumId w:val="13"/>
  </w:num>
  <w:num w:numId="17" w16cid:durableId="1841503235">
    <w:abstractNumId w:val="17"/>
  </w:num>
  <w:num w:numId="18" w16cid:durableId="850992304">
    <w:abstractNumId w:val="16"/>
  </w:num>
  <w:num w:numId="19" w16cid:durableId="506945400">
    <w:abstractNumId w:val="18"/>
  </w:num>
  <w:num w:numId="20" w16cid:durableId="1964997161">
    <w:abstractNumId w:val="8"/>
  </w:num>
  <w:num w:numId="21" w16cid:durableId="359014110">
    <w:abstractNumId w:val="20"/>
  </w:num>
  <w:num w:numId="22" w16cid:durableId="108621679">
    <w:abstractNumId w:val="15"/>
  </w:num>
  <w:num w:numId="23" w16cid:durableId="1647198952">
    <w:abstractNumId w:val="3"/>
  </w:num>
  <w:num w:numId="24" w16cid:durableId="1299067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13461B"/>
    <w:rsid w:val="00211E44"/>
    <w:rsid w:val="0023618C"/>
    <w:rsid w:val="0027082C"/>
    <w:rsid w:val="00294C4D"/>
    <w:rsid w:val="0031580C"/>
    <w:rsid w:val="003650D0"/>
    <w:rsid w:val="003A7CEA"/>
    <w:rsid w:val="003E2241"/>
    <w:rsid w:val="004107CA"/>
    <w:rsid w:val="004211E5"/>
    <w:rsid w:val="00443757"/>
    <w:rsid w:val="005025F7"/>
    <w:rsid w:val="005414A6"/>
    <w:rsid w:val="005422DF"/>
    <w:rsid w:val="005B7CC0"/>
    <w:rsid w:val="005C3FCA"/>
    <w:rsid w:val="005D08ED"/>
    <w:rsid w:val="005F7A75"/>
    <w:rsid w:val="00605B4C"/>
    <w:rsid w:val="00665846"/>
    <w:rsid w:val="006A249B"/>
    <w:rsid w:val="006C7AFA"/>
    <w:rsid w:val="00701CC9"/>
    <w:rsid w:val="00707E60"/>
    <w:rsid w:val="00723620"/>
    <w:rsid w:val="00813F67"/>
    <w:rsid w:val="008440F9"/>
    <w:rsid w:val="00844CC8"/>
    <w:rsid w:val="00845F02"/>
    <w:rsid w:val="00855468"/>
    <w:rsid w:val="00857B4F"/>
    <w:rsid w:val="008A3682"/>
    <w:rsid w:val="009D1788"/>
    <w:rsid w:val="009D1F9E"/>
    <w:rsid w:val="00A0423F"/>
    <w:rsid w:val="00A27409"/>
    <w:rsid w:val="00A456B7"/>
    <w:rsid w:val="00A53B01"/>
    <w:rsid w:val="00A55C9A"/>
    <w:rsid w:val="00A60686"/>
    <w:rsid w:val="00A741EE"/>
    <w:rsid w:val="00A96461"/>
    <w:rsid w:val="00AA7DD4"/>
    <w:rsid w:val="00B9278F"/>
    <w:rsid w:val="00B9597A"/>
    <w:rsid w:val="00BC7035"/>
    <w:rsid w:val="00BE3801"/>
    <w:rsid w:val="00C04706"/>
    <w:rsid w:val="00C24423"/>
    <w:rsid w:val="00C3440A"/>
    <w:rsid w:val="00C4509C"/>
    <w:rsid w:val="00C942B0"/>
    <w:rsid w:val="00C956B7"/>
    <w:rsid w:val="00D37EF2"/>
    <w:rsid w:val="00DB14E5"/>
    <w:rsid w:val="00DD0016"/>
    <w:rsid w:val="00E17F13"/>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20</cp:revision>
  <dcterms:created xsi:type="dcterms:W3CDTF">2025-10-23T17:12:00Z</dcterms:created>
  <dcterms:modified xsi:type="dcterms:W3CDTF">2025-11-04T16:04:00Z</dcterms:modified>
</cp:coreProperties>
</file>