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2F1B4B3D" w14:textId="77777777" w:rsidR="0084474E" w:rsidRDefault="0084474E" w:rsidP="0084474E">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1594669D" w14:textId="24781DC8" w:rsidR="00707E60" w:rsidRPr="00707E60" w:rsidRDefault="00707E60" w:rsidP="0084474E">
      <w:pPr>
        <w:pStyle w:val="NoSpacing"/>
        <w:rPr>
          <w:b/>
          <w:bCs/>
          <w:color w:val="000000" w:themeColor="text1"/>
          <w:sz w:val="56"/>
          <w:szCs w:val="56"/>
        </w:rPr>
      </w:pPr>
    </w:p>
    <w:p w14:paraId="68B285CD" w14:textId="77777777" w:rsidR="00707E60" w:rsidRPr="00707E60" w:rsidRDefault="00707E60" w:rsidP="00707E60">
      <w:pPr>
        <w:pStyle w:val="NoSpacing"/>
        <w:jc w:val="center"/>
        <w:rPr>
          <w:color w:val="000000" w:themeColor="text1"/>
          <w:sz w:val="72"/>
          <w:szCs w:val="72"/>
        </w:rPr>
      </w:pPr>
    </w:p>
    <w:p w14:paraId="2FE843B9" w14:textId="346C067D"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Guatapé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4E24FFBF" w14:textId="77777777" w:rsidR="00707E60" w:rsidRDefault="00707E60"/>
    <w:p w14:paraId="5C9DCB25" w14:textId="77777777" w:rsidR="00707E60" w:rsidRDefault="00707E60"/>
    <w:p w14:paraId="72B54074" w14:textId="77777777" w:rsidR="00707E60" w:rsidRPr="00707E60" w:rsidRDefault="00707E60" w:rsidP="00707E60">
      <w:pPr>
        <w:spacing w:line="360" w:lineRule="auto"/>
        <w:jc w:val="both"/>
        <w:rPr>
          <w:rFonts w:ascii="Aptos" w:hAnsi="Aptos" w:cs="Times New Roman"/>
        </w:rPr>
      </w:pPr>
      <w:r w:rsidRPr="00707E60">
        <w:rPr>
          <w:rFonts w:ascii="Aptos" w:hAnsi="Aptos" w:cs="Times New Roman"/>
        </w:rPr>
        <w:t xml:space="preserve">El estado actual de su normatividad tributaria se establece en los acuerdos: 027 de 2020 y 020 de 2024. </w:t>
      </w:r>
    </w:p>
    <w:p w14:paraId="2E7694EF" w14:textId="77777777" w:rsidR="00707E60" w:rsidRPr="003650D0" w:rsidRDefault="00707E60" w:rsidP="00707E60">
      <w:pPr>
        <w:spacing w:line="360" w:lineRule="auto"/>
        <w:jc w:val="both"/>
        <w:rPr>
          <w:rFonts w:ascii="Aptos" w:hAnsi="Aptos" w:cs="Times New Roman"/>
          <w:b/>
          <w:bCs/>
          <w:sz w:val="32"/>
          <w:szCs w:val="32"/>
        </w:rPr>
      </w:pPr>
      <w:r w:rsidRPr="003650D0">
        <w:rPr>
          <w:rFonts w:ascii="Aptos" w:hAnsi="Aptos" w:cs="Times New Roman"/>
          <w:b/>
          <w:bCs/>
          <w:sz w:val="32"/>
          <w:szCs w:val="32"/>
        </w:rPr>
        <w:t>Hallazgos</w:t>
      </w:r>
    </w:p>
    <w:p w14:paraId="163C52CB"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Los conceptos de Catastro aún se encuentran fundamentados en la Resolución 070 de 2011, la cual fue derogada por la Resolución 1040 de 2023: desactualización normativa. </w:t>
      </w:r>
    </w:p>
    <w:p w14:paraId="2340F18A"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D7F1307"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No existe una regulación clara respecto a los límites del proceso de rezago catastral. Esta falta de definición genera incertidumbre en la aplicación de tarifas e incrementos, particularmente frente a los ajustes proyectados para el año 2026. La situación se agrava con la existencia de beneficios otorgados a predios rurales bajo la Ley 1995 de 2019, algunos de los cuales solo recibieron descuentos parciales (del 30% o del 60%), sin que exista claridad normativa sobre su continuidad en las próximas vigencias. Se identifican opciones comunes entre municipios en relación con los incrementos aplicables tras procesos de actualización o rezago catastral, lo cual abre la posibilidad de establecer lineamientos unificados. </w:t>
      </w:r>
    </w:p>
    <w:p w14:paraId="5F09A97D"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Se hallan beneficios tributarios referente a predios que este destinado a la protección de los recursos naturales por medio de la cobertura de bosque natural</w:t>
      </w:r>
    </w:p>
    <w:p w14:paraId="10B81839" w14:textId="77777777" w:rsid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Los beneficios otorgados por concepto de cuencas están incorporados de una manera amplia y el alcance de tratamiento especial tributario puede ser superior a lo esperado. </w:t>
      </w:r>
    </w:p>
    <w:p w14:paraId="59B3C244" w14:textId="77777777" w:rsidR="00707E60" w:rsidRDefault="00707E60" w:rsidP="00707E60">
      <w:pPr>
        <w:widowControl w:val="0"/>
        <w:spacing w:after="0" w:line="360" w:lineRule="auto"/>
        <w:jc w:val="both"/>
        <w:rPr>
          <w:rFonts w:ascii="Aptos" w:hAnsi="Aptos" w:cs="Times New Roman"/>
        </w:rPr>
      </w:pPr>
    </w:p>
    <w:p w14:paraId="5D090C4E" w14:textId="77777777" w:rsidR="00707E60" w:rsidRDefault="00707E60" w:rsidP="00707E60">
      <w:pPr>
        <w:widowControl w:val="0"/>
        <w:spacing w:after="0" w:line="360" w:lineRule="auto"/>
        <w:jc w:val="both"/>
        <w:rPr>
          <w:rFonts w:ascii="Aptos" w:hAnsi="Aptos" w:cs="Times New Roman"/>
        </w:rPr>
      </w:pPr>
    </w:p>
    <w:p w14:paraId="711C4568" w14:textId="77777777" w:rsidR="003650D0" w:rsidRDefault="003650D0" w:rsidP="00707E60">
      <w:pPr>
        <w:widowControl w:val="0"/>
        <w:spacing w:after="0" w:line="360" w:lineRule="auto"/>
        <w:jc w:val="both"/>
        <w:rPr>
          <w:rFonts w:ascii="Aptos" w:hAnsi="Aptos" w:cs="Times New Roman"/>
        </w:rPr>
      </w:pPr>
    </w:p>
    <w:p w14:paraId="45170207" w14:textId="77777777" w:rsidR="00707E60" w:rsidRPr="00707E60" w:rsidRDefault="00707E60" w:rsidP="00707E60">
      <w:pPr>
        <w:widowControl w:val="0"/>
        <w:spacing w:after="0" w:line="360" w:lineRule="auto"/>
        <w:jc w:val="both"/>
        <w:rPr>
          <w:rFonts w:ascii="Aptos" w:hAnsi="Aptos" w:cs="Times New Roman"/>
        </w:rPr>
      </w:pPr>
    </w:p>
    <w:p w14:paraId="01860732" w14:textId="77777777" w:rsidR="00707E60" w:rsidRPr="00707E60" w:rsidRDefault="00707E60" w:rsidP="00707E60">
      <w:pPr>
        <w:spacing w:line="360" w:lineRule="auto"/>
        <w:jc w:val="both"/>
        <w:rPr>
          <w:rFonts w:ascii="Aptos" w:hAnsi="Aptos" w:cs="Times New Roman"/>
        </w:rPr>
      </w:pPr>
    </w:p>
    <w:p w14:paraId="0DCEBD64" w14:textId="77777777" w:rsidR="00707E60" w:rsidRPr="003650D0" w:rsidRDefault="00707E60" w:rsidP="00707E60">
      <w:pPr>
        <w:spacing w:line="360" w:lineRule="auto"/>
        <w:jc w:val="both"/>
        <w:rPr>
          <w:rFonts w:ascii="Aptos" w:hAnsi="Aptos" w:cs="Times New Roman"/>
          <w:b/>
          <w:bCs/>
          <w:sz w:val="32"/>
          <w:szCs w:val="32"/>
        </w:rPr>
      </w:pPr>
      <w:r w:rsidRPr="003650D0">
        <w:rPr>
          <w:rFonts w:ascii="Aptos" w:hAnsi="Aptos" w:cs="Times New Roman"/>
          <w:b/>
          <w:bCs/>
          <w:sz w:val="32"/>
          <w:szCs w:val="32"/>
        </w:rPr>
        <w:t>Recomendaciones</w:t>
      </w:r>
    </w:p>
    <w:p w14:paraId="4F446FF5"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cuenten con una tarifa definida, evitando la pérdida de ingresos fiscales.</w:t>
      </w:r>
    </w:p>
    <w:p w14:paraId="0F87EC0D"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Se sugiere establecer reglas claras para la gestión del rezago catastral. Estas deberían contemplar un porcentaje o tarifa aplicable de manera uniforme, así como un esquema transparente de incrementos graduales a partir de 2026, de modo que se brinde certeza tanto a la administración como a los contribuyentes.</w:t>
      </w:r>
    </w:p>
    <w:p w14:paraId="6C776904"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En relación con los beneficios tributarios, es necesario reglamentar de forma precisa su aplicación a predios rurales, definiendo condiciones de continuidad y asegurando que no se comprometa la sostenibilidad fiscal del municipio. También se recomienda revisar los beneficios otorgados por concepto de cuencas y otros instrumentos similares, con el fin de evaluar su impacto real y, de ser necesario, introducir ajustes que garanticen equidad y eficiencia.</w:t>
      </w:r>
    </w:p>
    <w:p w14:paraId="3C04A46E"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Revisar el alcance de delimitación del beneficio tributario por concepto de cuencas para determinar su impacto.</w:t>
      </w:r>
    </w:p>
    <w:p w14:paraId="1924F20B"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El municipio podría beneficiarse de la adopción de lineamientos comunes con otros entes territoriales en materia de incrementos post-actualización o rezago catastral, lo cual permitiría avanzar hacia una mayor uniformidad y coherencia normativa en la región.</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E90CF" w14:textId="77777777" w:rsidR="009714F4" w:rsidRDefault="009714F4" w:rsidP="00707E60">
      <w:pPr>
        <w:spacing w:after="0" w:line="240" w:lineRule="auto"/>
      </w:pPr>
      <w:r>
        <w:separator/>
      </w:r>
    </w:p>
  </w:endnote>
  <w:endnote w:type="continuationSeparator" w:id="0">
    <w:p w14:paraId="37E9D233" w14:textId="77777777" w:rsidR="009714F4" w:rsidRDefault="009714F4"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9CBE" w14:textId="77777777" w:rsidR="009714F4" w:rsidRDefault="009714F4" w:rsidP="00707E60">
      <w:pPr>
        <w:spacing w:after="0" w:line="240" w:lineRule="auto"/>
      </w:pPr>
      <w:r>
        <w:separator/>
      </w:r>
    </w:p>
  </w:footnote>
  <w:footnote w:type="continuationSeparator" w:id="0">
    <w:p w14:paraId="2826A5C1" w14:textId="77777777" w:rsidR="009714F4" w:rsidRDefault="009714F4"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23EFA097" w14:textId="77777777" w:rsidR="00AA16EF" w:rsidRPr="00327CFA" w:rsidRDefault="00AA16EF" w:rsidP="00AA16EF">
                          <w:pPr>
                            <w:pStyle w:val="NoSpacing"/>
                            <w:rPr>
                              <w:b/>
                              <w:bCs/>
                              <w:color w:val="000000" w:themeColor="text1"/>
                            </w:rPr>
                          </w:pPr>
                          <w:r w:rsidRPr="00AB4389">
                            <w:rPr>
                              <w:b/>
                              <w:bCs/>
                              <w:color w:val="000000" w:themeColor="text1"/>
                            </w:rPr>
                            <w:t>Análisis Jurídico de Estatuto Tributario</w:t>
                          </w:r>
                        </w:p>
                        <w:p w14:paraId="55DF06F3" w14:textId="39CABAE0" w:rsidR="00707E60" w:rsidRPr="00707E60" w:rsidRDefault="00707E60" w:rsidP="00707E60">
                          <w:pPr>
                            <w:pStyle w:val="NoSpacing"/>
                            <w:rPr>
                              <w:color w:val="000000" w:themeColor="text1"/>
                              <w:sz w:val="28"/>
                              <w:szCs w:val="28"/>
                            </w:rPr>
                          </w:pPr>
                          <w:r w:rsidRPr="00707E60">
                            <w:rPr>
                              <w:color w:val="000000" w:themeColor="text1"/>
                              <w:sz w:val="28"/>
                              <w:szCs w:val="28"/>
                            </w:rPr>
                            <w:t>Ficha Municipio Guatapé</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23EFA097" w14:textId="77777777" w:rsidR="00AA16EF" w:rsidRPr="00327CFA" w:rsidRDefault="00AA16EF" w:rsidP="00AA16EF">
                    <w:pPr>
                      <w:pStyle w:val="NoSpacing"/>
                      <w:rPr>
                        <w:b/>
                        <w:bCs/>
                        <w:color w:val="000000" w:themeColor="text1"/>
                      </w:rPr>
                    </w:pPr>
                    <w:r w:rsidRPr="00AB4389">
                      <w:rPr>
                        <w:b/>
                        <w:bCs/>
                        <w:color w:val="000000" w:themeColor="text1"/>
                      </w:rPr>
                      <w:t>Análisis Jurídico de Estatuto Tributario</w:t>
                    </w:r>
                  </w:p>
                  <w:p w14:paraId="55DF06F3" w14:textId="39CABAE0" w:rsidR="00707E60" w:rsidRPr="00707E60" w:rsidRDefault="00707E60" w:rsidP="00707E60">
                    <w:pPr>
                      <w:pStyle w:val="NoSpacing"/>
                      <w:rPr>
                        <w:color w:val="000000" w:themeColor="text1"/>
                        <w:sz w:val="28"/>
                        <w:szCs w:val="28"/>
                      </w:rPr>
                    </w:pPr>
                    <w:r w:rsidRPr="00707E60">
                      <w:rPr>
                        <w:color w:val="000000" w:themeColor="text1"/>
                        <w:sz w:val="28"/>
                        <w:szCs w:val="28"/>
                      </w:rPr>
                      <w:t>Ficha Municipio Guatapé</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7704">
    <w:abstractNumId w:val="0"/>
  </w:num>
  <w:num w:numId="2" w16cid:durableId="101734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F7A75"/>
    <w:rsid w:val="00605B4C"/>
    <w:rsid w:val="00665846"/>
    <w:rsid w:val="006A249B"/>
    <w:rsid w:val="00707E60"/>
    <w:rsid w:val="00813F67"/>
    <w:rsid w:val="0084474E"/>
    <w:rsid w:val="00844CC8"/>
    <w:rsid w:val="00845F02"/>
    <w:rsid w:val="009714F4"/>
    <w:rsid w:val="009D1F9E"/>
    <w:rsid w:val="00A27409"/>
    <w:rsid w:val="00A55C9A"/>
    <w:rsid w:val="00A60686"/>
    <w:rsid w:val="00A96461"/>
    <w:rsid w:val="00AA16EF"/>
    <w:rsid w:val="00BE54CF"/>
    <w:rsid w:val="00C04706"/>
    <w:rsid w:val="00C942B0"/>
    <w:rsid w:val="00D37EF2"/>
    <w:rsid w:val="00DB14E5"/>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527</Words>
  <Characters>3004</Characters>
  <Application>Microsoft Office Word</Application>
  <DocSecurity>0</DocSecurity>
  <Lines>25</Lines>
  <Paragraphs>7</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4</cp:revision>
  <dcterms:created xsi:type="dcterms:W3CDTF">2025-10-23T17:12:00Z</dcterms:created>
  <dcterms:modified xsi:type="dcterms:W3CDTF">2025-10-23T17:38:00Z</dcterms:modified>
</cp:coreProperties>
</file>