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16B61377"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837018">
        <w:rPr>
          <w:color w:val="000000" w:themeColor="text1"/>
          <w:sz w:val="44"/>
          <w:szCs w:val="44"/>
        </w:rPr>
        <w:t>Heliconia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624B43E" w14:textId="77777777" w:rsidR="00837018" w:rsidRPr="00837018" w:rsidRDefault="00837018" w:rsidP="00837018">
      <w:pPr>
        <w:spacing w:line="360" w:lineRule="auto"/>
        <w:jc w:val="both"/>
        <w:rPr>
          <w:rFonts w:ascii="Aptos" w:hAnsi="Aptos" w:cs="Times New Roman"/>
        </w:rPr>
      </w:pPr>
      <w:r w:rsidRPr="00837018">
        <w:rPr>
          <w:rFonts w:ascii="Aptos" w:hAnsi="Aptos" w:cs="Times New Roman"/>
        </w:rPr>
        <w:lastRenderedPageBreak/>
        <w:t>El estado actual de su normatividad tributaria se establece en el acuerdo: 23 de 2021.</w:t>
      </w:r>
    </w:p>
    <w:p w14:paraId="19237ABA" w14:textId="77777777" w:rsidR="00837018" w:rsidRPr="00837018" w:rsidRDefault="00837018" w:rsidP="00837018">
      <w:pPr>
        <w:spacing w:line="360" w:lineRule="auto"/>
        <w:jc w:val="both"/>
        <w:rPr>
          <w:rFonts w:ascii="Aptos" w:hAnsi="Aptos" w:cs="Times New Roman"/>
          <w:b/>
          <w:bCs/>
          <w:sz w:val="32"/>
          <w:szCs w:val="32"/>
        </w:rPr>
      </w:pPr>
      <w:r w:rsidRPr="00837018">
        <w:rPr>
          <w:rFonts w:ascii="Aptos" w:hAnsi="Aptos" w:cs="Times New Roman"/>
          <w:b/>
          <w:bCs/>
          <w:sz w:val="32"/>
          <w:szCs w:val="32"/>
        </w:rPr>
        <w:t>Hallazgos</w:t>
      </w:r>
    </w:p>
    <w:p w14:paraId="01280100"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Heliconia la matriz se fundamenta en la Resolución 202106011060 de 2021 del modelo LADM-COL.</w:t>
      </w:r>
    </w:p>
    <w:p w14:paraId="76BAFECA"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Desactualización normativa: la referencia a Resolución 202106011060 de 2021 requiere alineación con nuevas disposiciones de la Gerencia de Catastro.</w:t>
      </w:r>
    </w:p>
    <w:p w14:paraId="7ECD8883"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Ausencia de límites específicos aplicables al rezago catastral, pese a que el municipio adopta art. 6 Ley 44 de 1990 y desarrolla Ley 1995 de 2019 como límites generales.</w:t>
      </w:r>
    </w:p>
    <w:p w14:paraId="2DFAFC02"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Determinación oficial vía factura; sobretasa ambiental 1,5‰.</w:t>
      </w:r>
    </w:p>
    <w:p w14:paraId="10A29A4B"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Sobretasas de alumbrado público y bomberil: la normativa no evidencia que estén afectas al avalúo catastral o al IPU como base gravable ni define su metodología, generando vacíos para su aplicación.</w:t>
      </w:r>
    </w:p>
    <w:p w14:paraId="4905E040" w14:textId="77777777" w:rsidR="00837018" w:rsidRPr="00837018" w:rsidRDefault="00837018" w:rsidP="00837018">
      <w:pPr>
        <w:numPr>
          <w:ilvl w:val="0"/>
          <w:numId w:val="27"/>
        </w:numPr>
        <w:spacing w:line="360" w:lineRule="auto"/>
        <w:jc w:val="both"/>
        <w:rPr>
          <w:rFonts w:ascii="Aptos" w:hAnsi="Aptos" w:cs="Times New Roman"/>
        </w:rPr>
      </w:pPr>
      <w:r w:rsidRPr="00837018">
        <w:rPr>
          <w:rFonts w:ascii="Aptos" w:hAnsi="Aptos" w:cs="Times New Roman"/>
        </w:rPr>
        <w:t>Matriz tarifaria: adopta destinos económicos con tarifas 5‰–16‰</w:t>
      </w:r>
    </w:p>
    <w:p w14:paraId="0178C927" w14:textId="77777777" w:rsidR="00837018" w:rsidRPr="00837018" w:rsidRDefault="00837018" w:rsidP="00837018">
      <w:pPr>
        <w:pStyle w:val="ListParagraph"/>
        <w:widowControl w:val="0"/>
        <w:numPr>
          <w:ilvl w:val="0"/>
          <w:numId w:val="27"/>
        </w:numPr>
        <w:spacing w:after="0" w:line="240" w:lineRule="auto"/>
        <w:contextualSpacing w:val="0"/>
        <w:jc w:val="both"/>
        <w:rPr>
          <w:rFonts w:ascii="Aptos" w:hAnsi="Aptos" w:cs="Times New Roman"/>
        </w:rPr>
      </w:pPr>
      <w:r w:rsidRPr="00837018">
        <w:rPr>
          <w:rFonts w:ascii="Aptos" w:hAnsi="Aptos" w:cs="Times New Roman"/>
        </w:rPr>
        <w:t>El ET no incorpora tratamientos diferenciados o beneficios por condiciones ambientales</w:t>
      </w:r>
    </w:p>
    <w:p w14:paraId="11C97EBD" w14:textId="77777777" w:rsidR="00837018" w:rsidRPr="00837018" w:rsidRDefault="00837018" w:rsidP="00837018">
      <w:pPr>
        <w:spacing w:line="360" w:lineRule="auto"/>
        <w:jc w:val="both"/>
        <w:rPr>
          <w:rFonts w:ascii="Aptos" w:hAnsi="Aptos" w:cs="Times New Roman"/>
        </w:rPr>
      </w:pPr>
    </w:p>
    <w:p w14:paraId="7A0FDA85" w14:textId="77777777" w:rsidR="00837018" w:rsidRPr="00837018" w:rsidRDefault="00837018" w:rsidP="00837018">
      <w:pPr>
        <w:spacing w:line="360" w:lineRule="auto"/>
        <w:jc w:val="both"/>
        <w:rPr>
          <w:rFonts w:ascii="Aptos" w:hAnsi="Aptos" w:cs="Times New Roman"/>
          <w:b/>
          <w:bCs/>
          <w:sz w:val="32"/>
          <w:szCs w:val="32"/>
        </w:rPr>
      </w:pPr>
      <w:r w:rsidRPr="00837018">
        <w:rPr>
          <w:rFonts w:ascii="Aptos" w:hAnsi="Aptos" w:cs="Times New Roman"/>
          <w:b/>
          <w:bCs/>
          <w:sz w:val="32"/>
          <w:szCs w:val="32"/>
        </w:rPr>
        <w:t>Recomendaciones</w:t>
      </w:r>
    </w:p>
    <w:p w14:paraId="4D3F1F0F"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997528D"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lastRenderedPageBreak/>
        <w:t>Reglamentar de forma expresa los límites y reglas de gradualidad para rezago catastral, complementando el marco de Ley 44 de 1990 (art. 6) y Ley 1995 de 2019, para brindar seguridad jurídica.</w:t>
      </w:r>
    </w:p>
    <w:p w14:paraId="0D46A55F" w14:textId="77777777" w:rsidR="00837018" w:rsidRPr="00837018" w:rsidRDefault="00837018" w:rsidP="00837018">
      <w:pPr>
        <w:numPr>
          <w:ilvl w:val="0"/>
          <w:numId w:val="28"/>
        </w:numPr>
        <w:spacing w:line="360" w:lineRule="auto"/>
        <w:jc w:val="both"/>
        <w:rPr>
          <w:rFonts w:ascii="Aptos" w:hAnsi="Aptos" w:cs="Times New Roman"/>
        </w:rPr>
      </w:pPr>
      <w:r w:rsidRPr="00837018">
        <w:rPr>
          <w:rFonts w:ascii="Aptos" w:hAnsi="Aptos" w:cs="Times New Roman"/>
        </w:rPr>
        <w:t>Definir con precisión el régimen de las sobretasas de alumbrado público y bomberil (hecho generador, base gravable —si avalúo o IPU—, tarifa y procedimiento), a fin de garantizar un cobro legal y exigible.</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4902" w14:textId="77777777" w:rsidR="00AA4FB5" w:rsidRDefault="00AA4FB5" w:rsidP="00707E60">
      <w:pPr>
        <w:spacing w:after="0" w:line="240" w:lineRule="auto"/>
      </w:pPr>
      <w:r>
        <w:separator/>
      </w:r>
    </w:p>
  </w:endnote>
  <w:endnote w:type="continuationSeparator" w:id="0">
    <w:p w14:paraId="623BBDEA" w14:textId="77777777" w:rsidR="00AA4FB5" w:rsidRDefault="00AA4FB5"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9275" w14:textId="77777777" w:rsidR="00AA4FB5" w:rsidRDefault="00AA4FB5" w:rsidP="00707E60">
      <w:pPr>
        <w:spacing w:after="0" w:line="240" w:lineRule="auto"/>
      </w:pPr>
      <w:r>
        <w:separator/>
      </w:r>
    </w:p>
  </w:footnote>
  <w:footnote w:type="continuationSeparator" w:id="0">
    <w:p w14:paraId="267CDB12" w14:textId="77777777" w:rsidR="00AA4FB5" w:rsidRDefault="00AA4FB5"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A46F748"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837018">
                            <w:rPr>
                              <w:color w:val="000000" w:themeColor="text1"/>
                              <w:sz w:val="28"/>
                              <w:szCs w:val="28"/>
                            </w:rPr>
                            <w:t>Heliconia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A46F748"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837018">
                      <w:rPr>
                        <w:color w:val="000000" w:themeColor="text1"/>
                        <w:sz w:val="28"/>
                        <w:szCs w:val="28"/>
                      </w:rPr>
                      <w:t>Heliconia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C1FD2"/>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D0601"/>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7"/>
  </w:num>
  <w:num w:numId="2" w16cid:durableId="1017347282">
    <w:abstractNumId w:val="12"/>
  </w:num>
  <w:num w:numId="3" w16cid:durableId="44450645">
    <w:abstractNumId w:val="21"/>
  </w:num>
  <w:num w:numId="4" w16cid:durableId="1953855267">
    <w:abstractNumId w:val="0"/>
  </w:num>
  <w:num w:numId="5" w16cid:durableId="279457733">
    <w:abstractNumId w:val="8"/>
  </w:num>
  <w:num w:numId="6" w16cid:durableId="829055416">
    <w:abstractNumId w:val="1"/>
  </w:num>
  <w:num w:numId="7" w16cid:durableId="1974747392">
    <w:abstractNumId w:val="5"/>
  </w:num>
  <w:num w:numId="8" w16cid:durableId="1342120387">
    <w:abstractNumId w:val="16"/>
  </w:num>
  <w:num w:numId="9" w16cid:durableId="350257001">
    <w:abstractNumId w:val="4"/>
  </w:num>
  <w:num w:numId="10" w16cid:durableId="1078140204">
    <w:abstractNumId w:val="9"/>
  </w:num>
  <w:num w:numId="11" w16cid:durableId="1792938771">
    <w:abstractNumId w:val="10"/>
  </w:num>
  <w:num w:numId="12" w16cid:durableId="1526560268">
    <w:abstractNumId w:val="24"/>
  </w:num>
  <w:num w:numId="13" w16cid:durableId="684139451">
    <w:abstractNumId w:val="26"/>
  </w:num>
  <w:num w:numId="14" w16cid:durableId="2066485375">
    <w:abstractNumId w:val="27"/>
  </w:num>
  <w:num w:numId="15" w16cid:durableId="1048799774">
    <w:abstractNumId w:val="3"/>
  </w:num>
  <w:num w:numId="16" w16cid:durableId="763765178">
    <w:abstractNumId w:val="14"/>
  </w:num>
  <w:num w:numId="17" w16cid:durableId="312298011">
    <w:abstractNumId w:val="20"/>
  </w:num>
  <w:num w:numId="18" w16cid:durableId="1720469911">
    <w:abstractNumId w:val="15"/>
  </w:num>
  <w:num w:numId="19" w16cid:durableId="435371494">
    <w:abstractNumId w:val="17"/>
  </w:num>
  <w:num w:numId="20" w16cid:durableId="295719448">
    <w:abstractNumId w:val="19"/>
  </w:num>
  <w:num w:numId="21" w16cid:durableId="1577745992">
    <w:abstractNumId w:val="11"/>
  </w:num>
  <w:num w:numId="22" w16cid:durableId="1267925568">
    <w:abstractNumId w:val="22"/>
  </w:num>
  <w:num w:numId="23" w16cid:durableId="1861967186">
    <w:abstractNumId w:val="6"/>
  </w:num>
  <w:num w:numId="24" w16cid:durableId="601374337">
    <w:abstractNumId w:val="23"/>
  </w:num>
  <w:num w:numId="25" w16cid:durableId="1162700760">
    <w:abstractNumId w:val="25"/>
  </w:num>
  <w:num w:numId="26" w16cid:durableId="581332385">
    <w:abstractNumId w:val="13"/>
  </w:num>
  <w:num w:numId="27" w16cid:durableId="1874414131">
    <w:abstractNumId w:val="2"/>
  </w:num>
  <w:num w:numId="28" w16cid:durableId="2513612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6E68D4"/>
    <w:rsid w:val="00701CC9"/>
    <w:rsid w:val="00707E60"/>
    <w:rsid w:val="00723620"/>
    <w:rsid w:val="0075330F"/>
    <w:rsid w:val="007C2E1E"/>
    <w:rsid w:val="00813F67"/>
    <w:rsid w:val="00837018"/>
    <w:rsid w:val="00844CC8"/>
    <w:rsid w:val="00845F02"/>
    <w:rsid w:val="00855468"/>
    <w:rsid w:val="009D1788"/>
    <w:rsid w:val="009D1F9E"/>
    <w:rsid w:val="00A27409"/>
    <w:rsid w:val="00A53B01"/>
    <w:rsid w:val="00A55C9A"/>
    <w:rsid w:val="00A60686"/>
    <w:rsid w:val="00A96461"/>
    <w:rsid w:val="00AA4FB5"/>
    <w:rsid w:val="00AA7DD4"/>
    <w:rsid w:val="00B01FF5"/>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16</cp:revision>
  <dcterms:created xsi:type="dcterms:W3CDTF">2025-10-23T17:12:00Z</dcterms:created>
  <dcterms:modified xsi:type="dcterms:W3CDTF">2025-10-24T18:02:00Z</dcterms:modified>
</cp:coreProperties>
</file>