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339DC811"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DD0016">
        <w:rPr>
          <w:color w:val="000000" w:themeColor="text1"/>
          <w:sz w:val="44"/>
          <w:szCs w:val="44"/>
        </w:rPr>
        <w:t>La Pintada</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4E24FFBF" w14:textId="77777777" w:rsidR="00707E60" w:rsidRDefault="00707E60"/>
    <w:p w14:paraId="5C9DCB25" w14:textId="77777777" w:rsidR="00707E60" w:rsidRDefault="00707E60"/>
    <w:p w14:paraId="25CF01F2" w14:textId="77777777" w:rsidR="00DD0016" w:rsidRPr="00DD0016" w:rsidRDefault="00DD0016" w:rsidP="00DD0016">
      <w:pPr>
        <w:spacing w:line="360" w:lineRule="auto"/>
        <w:rPr>
          <w:rFonts w:ascii="Aptos" w:hAnsi="Aptos" w:cs="Times New Roman"/>
          <w:b/>
          <w:bCs/>
        </w:rPr>
      </w:pPr>
      <w:r w:rsidRPr="00DD0016">
        <w:rPr>
          <w:rFonts w:ascii="Aptos" w:hAnsi="Aptos" w:cs="Times New Roman"/>
        </w:rPr>
        <w:t>El estado actual de su normatividad tributaria se establece en los acuerdos: 011 de 2023.</w:t>
      </w:r>
    </w:p>
    <w:p w14:paraId="118A60C2" w14:textId="77777777" w:rsidR="00DD0016" w:rsidRPr="00DD0016" w:rsidRDefault="00DD0016" w:rsidP="00DD0016">
      <w:pPr>
        <w:spacing w:line="360" w:lineRule="auto"/>
        <w:jc w:val="both"/>
        <w:rPr>
          <w:rFonts w:ascii="Aptos" w:hAnsi="Aptos" w:cs="Times New Roman"/>
          <w:b/>
          <w:bCs/>
          <w:sz w:val="32"/>
          <w:szCs w:val="32"/>
        </w:rPr>
      </w:pPr>
      <w:r w:rsidRPr="00DD0016">
        <w:rPr>
          <w:rFonts w:ascii="Aptos" w:hAnsi="Aptos" w:cs="Times New Roman"/>
          <w:b/>
          <w:bCs/>
          <w:sz w:val="32"/>
          <w:szCs w:val="32"/>
        </w:rPr>
        <w:t>Hallazgos</w:t>
      </w:r>
    </w:p>
    <w:p w14:paraId="04AE9CAA" w14:textId="77777777" w:rsidR="00DD0016" w:rsidRPr="00DD0016" w:rsidRDefault="00DD0016" w:rsidP="00DD0016">
      <w:pPr>
        <w:numPr>
          <w:ilvl w:val="0"/>
          <w:numId w:val="4"/>
        </w:numPr>
        <w:spacing w:line="360" w:lineRule="auto"/>
        <w:jc w:val="both"/>
        <w:rPr>
          <w:rFonts w:ascii="Aptos" w:hAnsi="Aptos" w:cs="Times New Roman"/>
        </w:rPr>
      </w:pPr>
      <w:r w:rsidRPr="00DD0016">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39BCE359" w14:textId="77777777" w:rsidR="00DD0016" w:rsidRPr="00DD0016" w:rsidRDefault="00DD0016" w:rsidP="00DD0016">
      <w:pPr>
        <w:numPr>
          <w:ilvl w:val="0"/>
          <w:numId w:val="4"/>
        </w:numPr>
        <w:spacing w:line="360" w:lineRule="auto"/>
        <w:jc w:val="both"/>
        <w:rPr>
          <w:rFonts w:ascii="Aptos" w:hAnsi="Aptos" w:cs="Times New Roman"/>
        </w:rPr>
      </w:pPr>
      <w:r w:rsidRPr="00DD0016">
        <w:rPr>
          <w:rFonts w:ascii="Aptos" w:hAnsi="Aptos" w:cs="Times New Roman"/>
        </w:rPr>
        <w:t>Se identificó inconsistencia en el cobro del alumbrado público a predios no conectados al servicio de energía: aunque la base gravable es el avalúo catastral, el acuerdo municipal no define una tarifa específica, configurando la indeterminación de un elemento esencial del tributo y, por tanto, la improcedencia del cobro.</w:t>
      </w:r>
    </w:p>
    <w:p w14:paraId="1E6AB303" w14:textId="77777777" w:rsidR="00DD0016" w:rsidRPr="00DD0016" w:rsidRDefault="00DD0016" w:rsidP="00DD0016">
      <w:pPr>
        <w:numPr>
          <w:ilvl w:val="0"/>
          <w:numId w:val="4"/>
        </w:numPr>
        <w:spacing w:line="360" w:lineRule="auto"/>
        <w:jc w:val="both"/>
        <w:rPr>
          <w:rFonts w:ascii="Aptos" w:hAnsi="Aptos" w:cs="Times New Roman"/>
        </w:rPr>
      </w:pPr>
      <w:r w:rsidRPr="00DD0016">
        <w:rPr>
          <w:rFonts w:ascii="Aptos" w:hAnsi="Aptos" w:cs="Times New Roman"/>
        </w:rPr>
        <w:t>No existe regulación expresa sobre topes y reglas de gradualidad para los incrementos derivados del rezago catastral, ni un tratamiento definido para los predios respecto de los cuales no resulta aplicable la Ley 1995 de 2019; ello genera incertidumbre jurídica y riesgo de variaciones desproporcionadas en la liquidación.</w:t>
      </w:r>
    </w:p>
    <w:p w14:paraId="7E624038" w14:textId="77777777" w:rsidR="00DD0016" w:rsidRPr="00DD0016" w:rsidRDefault="00DD0016" w:rsidP="00DD0016">
      <w:pPr>
        <w:numPr>
          <w:ilvl w:val="0"/>
          <w:numId w:val="4"/>
        </w:numPr>
        <w:spacing w:line="360" w:lineRule="auto"/>
        <w:jc w:val="both"/>
        <w:rPr>
          <w:rFonts w:ascii="Aptos" w:hAnsi="Aptos" w:cs="Times New Roman"/>
        </w:rPr>
      </w:pPr>
      <w:r w:rsidRPr="00DD0016">
        <w:rPr>
          <w:rFonts w:ascii="Aptos" w:hAnsi="Aptos" w:cs="Times New Roman"/>
        </w:rPr>
        <w:t>Los beneficios asociados a protección ambiental, conservación hídrica y actividades agrícolas se otorgan de manera automática, sin parámetros claros de acceso, permanencia y verificación, lo que puede comprometer la sostenibilidad fiscal.</w:t>
      </w:r>
    </w:p>
    <w:p w14:paraId="1A46A526" w14:textId="77777777" w:rsidR="00DD0016" w:rsidRPr="00DD0016" w:rsidRDefault="00DD0016" w:rsidP="00DD0016">
      <w:pPr>
        <w:pStyle w:val="ListParagraph"/>
        <w:widowControl w:val="0"/>
        <w:numPr>
          <w:ilvl w:val="0"/>
          <w:numId w:val="4"/>
        </w:numPr>
        <w:spacing w:after="0" w:line="240" w:lineRule="auto"/>
        <w:contextualSpacing w:val="0"/>
        <w:jc w:val="both"/>
        <w:rPr>
          <w:rFonts w:ascii="Aptos" w:hAnsi="Aptos" w:cs="Times New Roman"/>
        </w:rPr>
      </w:pPr>
      <w:r w:rsidRPr="00DD0016">
        <w:rPr>
          <w:rFonts w:ascii="Aptos" w:hAnsi="Aptos" w:cs="Times New Roman"/>
        </w:rPr>
        <w:t>Establece que todas las áreas de conservación de aguas, fauna y flora reglamentadas por el Concejo Municipal estarán exentas del impuesto predial.</w:t>
      </w:r>
    </w:p>
    <w:p w14:paraId="233A5F93" w14:textId="77777777" w:rsidR="00DD0016" w:rsidRPr="00DD0016" w:rsidRDefault="00DD0016" w:rsidP="00DD0016">
      <w:pPr>
        <w:spacing w:line="360" w:lineRule="auto"/>
        <w:ind w:left="720"/>
        <w:jc w:val="both"/>
        <w:rPr>
          <w:rFonts w:ascii="Aptos" w:hAnsi="Aptos" w:cs="Times New Roman"/>
        </w:rPr>
      </w:pPr>
    </w:p>
    <w:p w14:paraId="117149CB" w14:textId="77777777" w:rsidR="00DD0016" w:rsidRPr="00DD0016" w:rsidRDefault="00DD0016" w:rsidP="00DD0016">
      <w:pPr>
        <w:spacing w:line="360" w:lineRule="auto"/>
        <w:jc w:val="both"/>
        <w:rPr>
          <w:rFonts w:ascii="Aptos" w:hAnsi="Aptos" w:cs="Times New Roman"/>
          <w:b/>
          <w:bCs/>
          <w:sz w:val="32"/>
          <w:szCs w:val="32"/>
        </w:rPr>
      </w:pPr>
      <w:r w:rsidRPr="00DD0016">
        <w:rPr>
          <w:rFonts w:ascii="Aptos" w:hAnsi="Aptos" w:cs="Times New Roman"/>
          <w:b/>
          <w:bCs/>
          <w:sz w:val="32"/>
          <w:szCs w:val="32"/>
        </w:rPr>
        <w:t>Recomendaciones</w:t>
      </w:r>
    </w:p>
    <w:p w14:paraId="4228BDD9" w14:textId="77777777" w:rsidR="00DD0016" w:rsidRPr="00DD0016" w:rsidRDefault="00DD0016" w:rsidP="00DD0016">
      <w:pPr>
        <w:numPr>
          <w:ilvl w:val="0"/>
          <w:numId w:val="3"/>
        </w:numPr>
        <w:spacing w:line="360" w:lineRule="auto"/>
        <w:jc w:val="both"/>
        <w:rPr>
          <w:rFonts w:ascii="Aptos" w:hAnsi="Aptos" w:cs="Times New Roman"/>
        </w:rPr>
      </w:pPr>
      <w:r w:rsidRPr="00DD0016">
        <w:rPr>
          <w:rFonts w:ascii="Aptos" w:hAnsi="Aptos" w:cs="Times New Roman"/>
        </w:rPr>
        <w:t xml:space="preserve">“Adelantar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w:t>
      </w:r>
      <w:r w:rsidRPr="00DD0016">
        <w:rPr>
          <w:rFonts w:ascii="Aptos" w:hAnsi="Aptos" w:cs="Times New Roman"/>
        </w:rPr>
        <w:lastRenderedPageBreak/>
        <w:t>que todos los destinos contemplados en el modelo LADM-COL versión 4.1, cuenten con una tarifa definida, evitando la pérdida de ingresos fiscales.”</w:t>
      </w:r>
    </w:p>
    <w:p w14:paraId="30080427" w14:textId="77777777" w:rsidR="00DD0016" w:rsidRPr="00DD0016" w:rsidRDefault="00DD0016" w:rsidP="00DD0016">
      <w:pPr>
        <w:numPr>
          <w:ilvl w:val="0"/>
          <w:numId w:val="3"/>
        </w:numPr>
        <w:spacing w:line="360" w:lineRule="auto"/>
        <w:jc w:val="both"/>
        <w:rPr>
          <w:rFonts w:ascii="Aptos" w:hAnsi="Aptos" w:cs="Times New Roman"/>
        </w:rPr>
      </w:pPr>
      <w:r w:rsidRPr="00DD0016">
        <w:rPr>
          <w:rFonts w:ascii="Aptos" w:hAnsi="Aptos" w:cs="Times New Roman"/>
        </w:rPr>
        <w:t>Definir en el acuerdo la tarifa aplicable al alumbrado público para predios no conectados, precisando los elementos del tributo (sujeto pasivo, hecho generador, base gravable, período y tarifa) y el procedimiento de facturación, a fin de garantizar legalidad, certeza y exigibilidad.</w:t>
      </w:r>
    </w:p>
    <w:p w14:paraId="3E94093C" w14:textId="77777777" w:rsidR="00DD0016" w:rsidRPr="00DD0016" w:rsidRDefault="00DD0016" w:rsidP="00DD0016">
      <w:pPr>
        <w:numPr>
          <w:ilvl w:val="0"/>
          <w:numId w:val="3"/>
        </w:numPr>
        <w:spacing w:line="360" w:lineRule="auto"/>
        <w:jc w:val="both"/>
        <w:rPr>
          <w:rFonts w:ascii="Aptos" w:hAnsi="Aptos" w:cs="Times New Roman"/>
        </w:rPr>
      </w:pPr>
      <w:r w:rsidRPr="00DD0016">
        <w:rPr>
          <w:rFonts w:ascii="Aptos" w:hAnsi="Aptos" w:cs="Times New Roman"/>
        </w:rPr>
        <w:t>Establecer límites máximos anuales (topes) y reglas de gradualidad para los incrementos por rezago catastral, así como un régimen aplicable a los predios respecto de los cuales no resulta aplicable la Ley 1995 de 2019, con criterios objetivos que otorguen seguridad jurídica.</w:t>
      </w:r>
    </w:p>
    <w:p w14:paraId="50331E0F" w14:textId="77777777" w:rsidR="00DD0016" w:rsidRPr="00DD0016" w:rsidRDefault="00DD0016" w:rsidP="00DD0016">
      <w:pPr>
        <w:numPr>
          <w:ilvl w:val="0"/>
          <w:numId w:val="3"/>
        </w:numPr>
        <w:spacing w:line="360" w:lineRule="auto"/>
        <w:jc w:val="both"/>
        <w:rPr>
          <w:rFonts w:ascii="Aptos" w:hAnsi="Aptos" w:cs="Times New Roman"/>
        </w:rPr>
      </w:pPr>
      <w:r w:rsidRPr="00DD0016">
        <w:rPr>
          <w:rFonts w:ascii="Aptos" w:hAnsi="Aptos" w:cs="Times New Roman"/>
        </w:rPr>
        <w:t>Rediseñar la arquitectura de beneficios: fijar requisitos de acceso, condiciones de permanencia y mecanismos de verificación y control, además de una evaluación del impacto fiscal, evitando automatismos que afecten la sostenibilidad del Municipio.</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3DA47" w14:textId="77777777" w:rsidR="00855468" w:rsidRDefault="00855468" w:rsidP="00707E60">
      <w:pPr>
        <w:spacing w:after="0" w:line="240" w:lineRule="auto"/>
      </w:pPr>
      <w:r>
        <w:separator/>
      </w:r>
    </w:p>
  </w:endnote>
  <w:endnote w:type="continuationSeparator" w:id="0">
    <w:p w14:paraId="0DF7E1A0" w14:textId="77777777" w:rsidR="00855468" w:rsidRDefault="00855468"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0C9C5" w14:textId="77777777" w:rsidR="00855468" w:rsidRDefault="00855468" w:rsidP="00707E60">
      <w:pPr>
        <w:spacing w:after="0" w:line="240" w:lineRule="auto"/>
      </w:pPr>
      <w:r>
        <w:separator/>
      </w:r>
    </w:p>
  </w:footnote>
  <w:footnote w:type="continuationSeparator" w:id="0">
    <w:p w14:paraId="46DC0E81" w14:textId="77777777" w:rsidR="00855468" w:rsidRDefault="00855468"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7801A410"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DD0016">
                            <w:rPr>
                              <w:color w:val="000000" w:themeColor="text1"/>
                              <w:sz w:val="28"/>
                              <w:szCs w:val="28"/>
                            </w:rPr>
                            <w:t>La Pintada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7801A410"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DD0016">
                      <w:rPr>
                        <w:color w:val="000000" w:themeColor="text1"/>
                        <w:sz w:val="28"/>
                        <w:szCs w:val="28"/>
                      </w:rPr>
                      <w:t>La Pintada</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1"/>
  </w:num>
  <w:num w:numId="2" w16cid:durableId="1017347282">
    <w:abstractNumId w:val="2"/>
  </w:num>
  <w:num w:numId="3" w16cid:durableId="44450645">
    <w:abstractNumId w:val="3"/>
  </w:num>
  <w:num w:numId="4" w16cid:durableId="1953855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650D0"/>
    <w:rsid w:val="003A7CEA"/>
    <w:rsid w:val="003E2241"/>
    <w:rsid w:val="004107CA"/>
    <w:rsid w:val="005422DF"/>
    <w:rsid w:val="005F7A75"/>
    <w:rsid w:val="00605B4C"/>
    <w:rsid w:val="00665846"/>
    <w:rsid w:val="006A249B"/>
    <w:rsid w:val="00707E60"/>
    <w:rsid w:val="00813F67"/>
    <w:rsid w:val="00844CC8"/>
    <w:rsid w:val="00845F02"/>
    <w:rsid w:val="00855468"/>
    <w:rsid w:val="009D1F9E"/>
    <w:rsid w:val="00A27409"/>
    <w:rsid w:val="00A55C9A"/>
    <w:rsid w:val="00A60686"/>
    <w:rsid w:val="00A96461"/>
    <w:rsid w:val="00C04706"/>
    <w:rsid w:val="00C942B0"/>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707E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E60"/>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3</cp:revision>
  <dcterms:created xsi:type="dcterms:W3CDTF">2025-10-23T17:12:00Z</dcterms:created>
  <dcterms:modified xsi:type="dcterms:W3CDTF">2025-10-23T17:39:00Z</dcterms:modified>
</cp:coreProperties>
</file>