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52C2D2A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DF27B8B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F77610">
        <w:rPr>
          <w:color w:val="000000" w:themeColor="text1"/>
          <w:sz w:val="44"/>
          <w:szCs w:val="44"/>
        </w:rPr>
        <w:t>Maceo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45DF2D39" w14:textId="77777777" w:rsidR="00AD0882" w:rsidRPr="00AD0882" w:rsidRDefault="00AD0882" w:rsidP="00AD0882">
      <w:p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lastRenderedPageBreak/>
        <w:t>El estado actual de su normatividad tributaria se establece en el Acuerdo 7 de 2022.</w:t>
      </w:r>
    </w:p>
    <w:p w14:paraId="1DD6B4C9" w14:textId="77777777" w:rsidR="00AD0882" w:rsidRPr="00AD0882" w:rsidRDefault="00AD0882" w:rsidP="00AD0882">
      <w:pPr>
        <w:spacing w:line="360" w:lineRule="auto"/>
        <w:rPr>
          <w:rFonts w:ascii="Aptos" w:hAnsi="Aptos" w:cs="Times New Roman"/>
          <w:sz w:val="32"/>
          <w:szCs w:val="32"/>
        </w:rPr>
      </w:pPr>
      <w:r w:rsidRPr="00AD0882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0E23BAA" w14:textId="75BCE434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1217CEE3" w14:textId="42A4F804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La regulación catastral remite a lineamientos desactualizados y no adopta el marco operativo vigente, lo que afecta coherencia entre formación, actualización y conservación.</w:t>
      </w:r>
    </w:p>
    <w:p w14:paraId="3668A40C" w14:textId="6CF11B33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Se ordena aplicar la tarifa máxima a usos no autorizados del ordenamiento, configurando un uso sancionatorio impropio del impuesto predial unificado.</w:t>
      </w:r>
    </w:p>
    <w:p w14:paraId="676A2212" w14:textId="0D08ABE7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La determinación por factura con mérito ejecutivo está anunciada, pero sin definir contenido mínimo, protocolo de notificación ni esquema de difusión previa.</w:t>
      </w:r>
    </w:p>
    <w:p w14:paraId="6DA9F1D7" w14:textId="53B9D2AA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El esquema de pronto pago (15%/10%/5%) depende de plazos que fija la administración sin reglas de acceso, incompatibilidades ni causales de pérdida.</w:t>
      </w:r>
    </w:p>
    <w:p w14:paraId="2BAFB520" w14:textId="1BB0A562" w:rsidR="00AD0882" w:rsidRPr="00AD0882" w:rsidRDefault="00AD0882" w:rsidP="00AD088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La compensación por áreas de retiro carece de metodología de cálculo, fuente presupuestal y verificación técnica; no se estima su costo fiscal.</w:t>
      </w:r>
    </w:p>
    <w:p w14:paraId="7CC18C3C" w14:textId="4EC23976" w:rsidR="00AD0882" w:rsidRDefault="00AD0882" w:rsidP="002D57E2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="Times New Roman"/>
        </w:rPr>
      </w:pPr>
      <w:r w:rsidRPr="00AD0882">
        <w:rPr>
          <w:rFonts w:ascii="Aptos" w:hAnsi="Aptos" w:cs="Times New Roman"/>
        </w:rPr>
        <w:t>El régimen de límites al impuesto no articula gradualidad ni coordinación con escenarios de rezago/actualización ni con tributos atados al IPU.</w:t>
      </w:r>
    </w:p>
    <w:p w14:paraId="3DFD8632" w14:textId="77777777" w:rsidR="002D57E2" w:rsidRPr="002D57E2" w:rsidRDefault="002D57E2" w:rsidP="002D57E2">
      <w:pPr>
        <w:spacing w:line="360" w:lineRule="auto"/>
        <w:rPr>
          <w:rFonts w:ascii="Aptos" w:hAnsi="Aptos" w:cs="Times New Roman"/>
        </w:rPr>
      </w:pPr>
    </w:p>
    <w:p w14:paraId="282DC5B2" w14:textId="77777777" w:rsidR="00AD0882" w:rsidRPr="002D57E2" w:rsidRDefault="00AD0882" w:rsidP="00AD0882">
      <w:pPr>
        <w:spacing w:line="360" w:lineRule="auto"/>
        <w:rPr>
          <w:rFonts w:ascii="Aptos" w:hAnsi="Aptos" w:cs="Times New Roman"/>
          <w:sz w:val="32"/>
          <w:szCs w:val="32"/>
        </w:rPr>
      </w:pPr>
      <w:r w:rsidRPr="002D57E2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7F0606B7" w14:textId="4F1BD70C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253C9E82" w14:textId="777464AC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Adoptar el marco operativo catastral vigente y ajustar remisiones normativas para asegurar consistencia de los procesos catastrales.</w:t>
      </w:r>
    </w:p>
    <w:p w14:paraId="219996A7" w14:textId="499EDCC0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Eliminar la orden de aplicar tarifa máxima como “sanción” a usos no autorizados; las infracciones urbanísticas deben gestionarse con los instrumentos de planeación y control, no mediante tarifa del IPU.</w:t>
      </w:r>
    </w:p>
    <w:p w14:paraId="1C354BB4" w14:textId="08F47BC9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lastRenderedPageBreak/>
        <w:t>Estandarizar la determinación por factura con contenido mínimo del acto, medios y constancias de notificación y esquema de difusión previa, articulando recursos y plazos.</w:t>
      </w:r>
    </w:p>
    <w:p w14:paraId="43A5F35C" w14:textId="0F15B34D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Formalizar el pronto pago con calendario cierto, requisitos de acceso, incompatibilidades y causales de pérdida; limitar la discrecionalidad operativa.</w:t>
      </w:r>
    </w:p>
    <w:p w14:paraId="5075E863" w14:textId="27BDC312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Regular la compensación por áreas de retiro con metodología de cuantificación, límites, fuente presupuestal, y análisis del costo fiscal.</w:t>
      </w:r>
    </w:p>
    <w:p w14:paraId="5661013E" w14:textId="0DB519B2" w:rsidR="00AD0882" w:rsidRPr="002D57E2" w:rsidRDefault="00AD0882" w:rsidP="002D57E2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="Times New Roman"/>
        </w:rPr>
      </w:pPr>
      <w:r w:rsidRPr="002D57E2">
        <w:rPr>
          <w:rFonts w:ascii="Aptos" w:hAnsi="Aptos" w:cs="Times New Roman"/>
        </w:rPr>
        <w:t>Definir reglas de límites y gradualidad que armonicen actualización y rezago, y extender esa coordinación a tributos atados al IPU para evitar saltos de carga.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C33B" w14:textId="77777777" w:rsidR="00EE35E8" w:rsidRDefault="00EE35E8" w:rsidP="00707E60">
      <w:pPr>
        <w:spacing w:after="0" w:line="240" w:lineRule="auto"/>
      </w:pPr>
      <w:r>
        <w:separator/>
      </w:r>
    </w:p>
  </w:endnote>
  <w:endnote w:type="continuationSeparator" w:id="0">
    <w:p w14:paraId="62115ACB" w14:textId="77777777" w:rsidR="00EE35E8" w:rsidRDefault="00EE35E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73F1A" w14:textId="77777777" w:rsidR="00EE35E8" w:rsidRDefault="00EE35E8" w:rsidP="00707E60">
      <w:pPr>
        <w:spacing w:after="0" w:line="240" w:lineRule="auto"/>
      </w:pPr>
      <w:r>
        <w:separator/>
      </w:r>
    </w:p>
  </w:footnote>
  <w:footnote w:type="continuationSeparator" w:id="0">
    <w:p w14:paraId="36CDB820" w14:textId="77777777" w:rsidR="00EE35E8" w:rsidRDefault="00EE35E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372F1B04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F7761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Maceo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372F1B04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F77610">
                      <w:rPr>
                        <w:color w:val="000000" w:themeColor="text1"/>
                        <w:sz w:val="28"/>
                        <w:szCs w:val="28"/>
                      </w:rPr>
                      <w:t>Maceo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F6BB3"/>
    <w:multiLevelType w:val="hybridMultilevel"/>
    <w:tmpl w:val="DD3A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D60AC"/>
    <w:multiLevelType w:val="multilevel"/>
    <w:tmpl w:val="F65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86074"/>
    <w:multiLevelType w:val="multilevel"/>
    <w:tmpl w:val="FBF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B4664"/>
    <w:multiLevelType w:val="hybridMultilevel"/>
    <w:tmpl w:val="590A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9"/>
  </w:num>
  <w:num w:numId="2" w16cid:durableId="1017347282">
    <w:abstractNumId w:val="13"/>
  </w:num>
  <w:num w:numId="3" w16cid:durableId="44450645">
    <w:abstractNumId w:val="17"/>
  </w:num>
  <w:num w:numId="4" w16cid:durableId="1953855267">
    <w:abstractNumId w:val="1"/>
  </w:num>
  <w:num w:numId="5" w16cid:durableId="1281302291">
    <w:abstractNumId w:val="5"/>
  </w:num>
  <w:num w:numId="6" w16cid:durableId="198319745">
    <w:abstractNumId w:val="16"/>
  </w:num>
  <w:num w:numId="7" w16cid:durableId="1222793921">
    <w:abstractNumId w:val="3"/>
  </w:num>
  <w:num w:numId="8" w16cid:durableId="1663466582">
    <w:abstractNumId w:val="18"/>
  </w:num>
  <w:num w:numId="9" w16cid:durableId="1601404175">
    <w:abstractNumId w:val="23"/>
  </w:num>
  <w:num w:numId="10" w16cid:durableId="1696037023">
    <w:abstractNumId w:val="20"/>
  </w:num>
  <w:num w:numId="11" w16cid:durableId="1726874531">
    <w:abstractNumId w:val="4"/>
  </w:num>
  <w:num w:numId="12" w16cid:durableId="1308511851">
    <w:abstractNumId w:val="10"/>
  </w:num>
  <w:num w:numId="13" w16cid:durableId="470710239">
    <w:abstractNumId w:val="7"/>
  </w:num>
  <w:num w:numId="14" w16cid:durableId="335232453">
    <w:abstractNumId w:val="0"/>
  </w:num>
  <w:num w:numId="15" w16cid:durableId="864756385">
    <w:abstractNumId w:val="19"/>
  </w:num>
  <w:num w:numId="16" w16cid:durableId="1808812370">
    <w:abstractNumId w:val="6"/>
  </w:num>
  <w:num w:numId="17" w16cid:durableId="230238942">
    <w:abstractNumId w:val="21"/>
  </w:num>
  <w:num w:numId="18" w16cid:durableId="1750955448">
    <w:abstractNumId w:val="11"/>
  </w:num>
  <w:num w:numId="19" w16cid:durableId="1620525228">
    <w:abstractNumId w:val="15"/>
  </w:num>
  <w:num w:numId="20" w16cid:durableId="1971281397">
    <w:abstractNumId w:val="12"/>
  </w:num>
  <w:num w:numId="21" w16cid:durableId="1062369396">
    <w:abstractNumId w:val="8"/>
  </w:num>
  <w:num w:numId="22" w16cid:durableId="1500654006">
    <w:abstractNumId w:val="14"/>
  </w:num>
  <w:num w:numId="23" w16cid:durableId="1782533741">
    <w:abstractNumId w:val="22"/>
  </w:num>
  <w:num w:numId="24" w16cid:durableId="1272712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087C16"/>
    <w:rsid w:val="000C2026"/>
    <w:rsid w:val="00120797"/>
    <w:rsid w:val="00134527"/>
    <w:rsid w:val="0016665C"/>
    <w:rsid w:val="001B556D"/>
    <w:rsid w:val="00211E44"/>
    <w:rsid w:val="0022279B"/>
    <w:rsid w:val="0023618C"/>
    <w:rsid w:val="00280F9A"/>
    <w:rsid w:val="002A4167"/>
    <w:rsid w:val="002D57E2"/>
    <w:rsid w:val="003650D0"/>
    <w:rsid w:val="003A7CEA"/>
    <w:rsid w:val="003E2241"/>
    <w:rsid w:val="004107CA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60686"/>
    <w:rsid w:val="00A96461"/>
    <w:rsid w:val="00AA7DD4"/>
    <w:rsid w:val="00AD0882"/>
    <w:rsid w:val="00BB442A"/>
    <w:rsid w:val="00BC7035"/>
    <w:rsid w:val="00C03FD2"/>
    <w:rsid w:val="00C04706"/>
    <w:rsid w:val="00C942B0"/>
    <w:rsid w:val="00D37EF2"/>
    <w:rsid w:val="00DB14E5"/>
    <w:rsid w:val="00DD0016"/>
    <w:rsid w:val="00E20840"/>
    <w:rsid w:val="00E608BE"/>
    <w:rsid w:val="00E733D1"/>
    <w:rsid w:val="00EE35E8"/>
    <w:rsid w:val="00F27231"/>
    <w:rsid w:val="00F65205"/>
    <w:rsid w:val="00F77610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19</cp:revision>
  <dcterms:created xsi:type="dcterms:W3CDTF">2025-10-23T17:12:00Z</dcterms:created>
  <dcterms:modified xsi:type="dcterms:W3CDTF">2025-11-12T12:44:00Z</dcterms:modified>
</cp:coreProperties>
</file>