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41DEC101"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775E5B">
        <w:rPr>
          <w:color w:val="000000" w:themeColor="text1"/>
          <w:sz w:val="44"/>
          <w:szCs w:val="44"/>
        </w:rPr>
        <w:t>Mutatá</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31DDC63A" w14:textId="77777777" w:rsidR="00881292" w:rsidRPr="00881292" w:rsidRDefault="00881292" w:rsidP="00881292">
      <w:pPr>
        <w:spacing w:line="360" w:lineRule="auto"/>
        <w:jc w:val="both"/>
        <w:rPr>
          <w:rFonts w:ascii="Aptos" w:hAnsi="Aptos" w:cs="Times New Roman"/>
        </w:rPr>
      </w:pPr>
      <w:r w:rsidRPr="00881292">
        <w:rPr>
          <w:rFonts w:ascii="Aptos" w:hAnsi="Aptos" w:cs="Times New Roman"/>
        </w:rPr>
        <w:lastRenderedPageBreak/>
        <w:t>El estado actual de su normatividad tributaria se establece en el Acuerdo 18 de 2020</w:t>
      </w:r>
    </w:p>
    <w:p w14:paraId="240A801B" w14:textId="77777777" w:rsidR="00881292" w:rsidRPr="00881292" w:rsidRDefault="00881292" w:rsidP="00881292">
      <w:pPr>
        <w:spacing w:line="360" w:lineRule="auto"/>
        <w:jc w:val="both"/>
        <w:rPr>
          <w:rFonts w:ascii="Aptos" w:hAnsi="Aptos" w:cs="Times New Roman"/>
          <w:b/>
          <w:bCs/>
          <w:sz w:val="32"/>
          <w:szCs w:val="32"/>
        </w:rPr>
      </w:pPr>
      <w:r w:rsidRPr="00881292">
        <w:rPr>
          <w:rFonts w:ascii="Aptos" w:hAnsi="Aptos" w:cs="Times New Roman"/>
          <w:b/>
          <w:bCs/>
          <w:sz w:val="32"/>
          <w:szCs w:val="32"/>
        </w:rPr>
        <w:t>Hallazgos</w:t>
      </w:r>
    </w:p>
    <w:p w14:paraId="41E147E7" w14:textId="77777777" w:rsidR="00881292" w:rsidRPr="00881292" w:rsidRDefault="00881292" w:rsidP="00881292">
      <w:pPr>
        <w:numPr>
          <w:ilvl w:val="0"/>
          <w:numId w:val="21"/>
        </w:numPr>
        <w:spacing w:line="360" w:lineRule="auto"/>
        <w:jc w:val="both"/>
        <w:rPr>
          <w:rFonts w:ascii="Aptos" w:hAnsi="Aptos" w:cs="Times New Roman"/>
        </w:rPr>
      </w:pPr>
      <w:r w:rsidRPr="00881292">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7A903651" w14:textId="77777777" w:rsidR="00881292" w:rsidRPr="00881292" w:rsidRDefault="00881292" w:rsidP="00881292">
      <w:pPr>
        <w:numPr>
          <w:ilvl w:val="0"/>
          <w:numId w:val="21"/>
        </w:numPr>
        <w:spacing w:line="360" w:lineRule="auto"/>
        <w:jc w:val="both"/>
        <w:rPr>
          <w:rFonts w:ascii="Aptos" w:hAnsi="Aptos" w:cs="Times New Roman"/>
        </w:rPr>
      </w:pPr>
      <w:r w:rsidRPr="00881292">
        <w:rPr>
          <w:rFonts w:ascii="Aptos" w:hAnsi="Aptos" w:cs="Times New Roman"/>
        </w:rPr>
        <w:t>Clasificación y destinos no homologados al modelo LADM-COL: la matriz tarifaria usa categorías propias (habitacional A-K, comercial A-C, etc.) con umbrales en SMMLV y no la taxonomía de destinos económicos vigente del gestor catastral; además, conviven rangos de avalúo con destinos, lo que dificulta la trazabilidad y la interoperabilidad.</w:t>
      </w:r>
    </w:p>
    <w:p w14:paraId="0980B39F" w14:textId="77777777" w:rsidR="00881292" w:rsidRPr="00881292" w:rsidRDefault="00881292" w:rsidP="00881292">
      <w:pPr>
        <w:numPr>
          <w:ilvl w:val="0"/>
          <w:numId w:val="21"/>
        </w:numPr>
        <w:spacing w:line="360" w:lineRule="auto"/>
        <w:jc w:val="both"/>
        <w:rPr>
          <w:rFonts w:ascii="Aptos" w:hAnsi="Aptos" w:cs="Times New Roman"/>
        </w:rPr>
      </w:pPr>
      <w:r w:rsidRPr="00881292">
        <w:rPr>
          <w:rFonts w:ascii="Aptos" w:hAnsi="Aptos" w:cs="Times New Roman"/>
        </w:rPr>
        <w:t>Estructura de tarifas: oscila entre 5×1000 y 16×1000, y hasta 25×1000/33×1000 para lotes urbanizables/no construidos; existe tabla detallada por uso con saltos de tarifa por tramos de avalúo.</w:t>
      </w:r>
    </w:p>
    <w:p w14:paraId="29778759" w14:textId="77777777" w:rsidR="00881292" w:rsidRPr="00881292" w:rsidRDefault="00881292" w:rsidP="00881292">
      <w:pPr>
        <w:numPr>
          <w:ilvl w:val="0"/>
          <w:numId w:val="21"/>
        </w:numPr>
        <w:spacing w:line="360" w:lineRule="auto"/>
        <w:jc w:val="both"/>
        <w:rPr>
          <w:rFonts w:ascii="Aptos" w:hAnsi="Aptos" w:cs="Times New Roman"/>
        </w:rPr>
      </w:pPr>
      <w:r w:rsidRPr="00881292">
        <w:rPr>
          <w:rFonts w:ascii="Aptos" w:hAnsi="Aptos" w:cs="Times New Roman"/>
        </w:rPr>
        <w:t>Exenciones y beneficios para juntas de acción comunal, defensa civil, bomberos, fuerza pública y entidades de beneficencia; beneficio del 50 % para inmuebles de interés cultural, entidades culturales sin ánimo de lucro</w:t>
      </w:r>
    </w:p>
    <w:p w14:paraId="699017BA" w14:textId="77777777" w:rsidR="00881292" w:rsidRPr="00881292" w:rsidRDefault="00881292" w:rsidP="00881292">
      <w:pPr>
        <w:numPr>
          <w:ilvl w:val="0"/>
          <w:numId w:val="21"/>
        </w:numPr>
        <w:spacing w:line="360" w:lineRule="auto"/>
        <w:jc w:val="both"/>
        <w:rPr>
          <w:rFonts w:ascii="Aptos" w:hAnsi="Aptos" w:cs="Times New Roman"/>
        </w:rPr>
      </w:pPr>
      <w:r w:rsidRPr="00881292">
        <w:rPr>
          <w:rFonts w:ascii="Aptos" w:hAnsi="Aptos" w:cs="Times New Roman"/>
        </w:rPr>
        <w:t>Gradualidad frente a actualización/rezago: se prevé “descuento en la tarifa” para predios intervenidos por actualización o rezago (40 % en año 1; año 2 tarifa plena), excluyendo predios nuevos; la lógica está centrada en tarifa y no en crecimiento del impuesto efectivamente pagado por el contribuyente.</w:t>
      </w:r>
    </w:p>
    <w:p w14:paraId="57EB35D4" w14:textId="77777777" w:rsidR="00881292" w:rsidRPr="00881292" w:rsidRDefault="00881292" w:rsidP="00881292">
      <w:pPr>
        <w:numPr>
          <w:ilvl w:val="0"/>
          <w:numId w:val="21"/>
        </w:numPr>
        <w:spacing w:line="360" w:lineRule="auto"/>
        <w:jc w:val="both"/>
        <w:rPr>
          <w:rFonts w:ascii="Aptos" w:hAnsi="Aptos" w:cs="Times New Roman"/>
        </w:rPr>
      </w:pPr>
      <w:r w:rsidRPr="00881292">
        <w:rPr>
          <w:rFonts w:ascii="Aptos" w:hAnsi="Aptos" w:cs="Times New Roman"/>
        </w:rPr>
        <w:t>Incrementos máximos: coexisten dos reglas distintas: una para incrementos derivados de actualización/rezago (ajuste por acto administrativo cuando se supere el límite legal) y otra para incrementos por modificación de tarifas (tope del 25 % del cobro frente al año anterior, salvo cambios físicos/económicos).</w:t>
      </w:r>
    </w:p>
    <w:p w14:paraId="757CD822" w14:textId="77777777" w:rsidR="00881292" w:rsidRPr="00881292" w:rsidRDefault="00881292" w:rsidP="00881292">
      <w:pPr>
        <w:numPr>
          <w:ilvl w:val="0"/>
          <w:numId w:val="21"/>
        </w:numPr>
        <w:spacing w:line="360" w:lineRule="auto"/>
        <w:jc w:val="both"/>
        <w:rPr>
          <w:rFonts w:ascii="Aptos" w:hAnsi="Aptos" w:cs="Times New Roman"/>
        </w:rPr>
      </w:pPr>
      <w:r w:rsidRPr="00881292">
        <w:rPr>
          <w:rFonts w:ascii="Aptos" w:hAnsi="Aptos" w:cs="Times New Roman"/>
        </w:rPr>
        <w:t>Predial compensatorio: se adopta un esquema de compensación para áreas de embalses/obras de servicios públicos (referencia a régimen especial) con base gravable fijada por resolución catastral y liquidación al 150 % del predial ordinario.</w:t>
      </w:r>
    </w:p>
    <w:p w14:paraId="517C938D" w14:textId="77777777" w:rsidR="00881292" w:rsidRPr="00881292" w:rsidRDefault="00881292" w:rsidP="00881292">
      <w:pPr>
        <w:numPr>
          <w:ilvl w:val="0"/>
          <w:numId w:val="21"/>
        </w:numPr>
        <w:spacing w:line="360" w:lineRule="auto"/>
        <w:jc w:val="both"/>
        <w:rPr>
          <w:rFonts w:ascii="Aptos" w:hAnsi="Aptos" w:cs="Times New Roman"/>
        </w:rPr>
      </w:pPr>
      <w:r w:rsidRPr="00881292">
        <w:rPr>
          <w:rFonts w:ascii="Aptos" w:hAnsi="Aptos" w:cs="Times New Roman"/>
        </w:rPr>
        <w:lastRenderedPageBreak/>
        <w:t>Formas de pago y facturación: pago urbano en cuatro cuotas y rural en dos; se permite SPAC para residenciales; la determinación oficial vía factura contempla notificación por web y cartelera, pero también prevé entender notificada por correo electrónico, lo que desdibuja el carácter especial de la notificación por inserción y publicación.</w:t>
      </w:r>
    </w:p>
    <w:p w14:paraId="33356429" w14:textId="77777777" w:rsidR="00881292" w:rsidRPr="00881292" w:rsidRDefault="00881292" w:rsidP="00881292">
      <w:pPr>
        <w:numPr>
          <w:ilvl w:val="0"/>
          <w:numId w:val="21"/>
        </w:numPr>
        <w:spacing w:line="360" w:lineRule="auto"/>
        <w:jc w:val="both"/>
        <w:rPr>
          <w:rFonts w:ascii="Aptos" w:hAnsi="Aptos" w:cs="Times New Roman"/>
        </w:rPr>
      </w:pPr>
      <w:r w:rsidRPr="00881292">
        <w:rPr>
          <w:rFonts w:ascii="Aptos" w:hAnsi="Aptos" w:cs="Times New Roman"/>
        </w:rPr>
        <w:t>Consagra un abono anticipado (15 %) y pronto pago (hasta 10 %); el abono se liquida sobre la vigencia actual y exige completar el “excedente” cuando haya variaciones del avalúo o de elementos del tributo, lo que puede inducir diferencias posteriores de cobro.</w:t>
      </w:r>
    </w:p>
    <w:p w14:paraId="22504DDE" w14:textId="77777777" w:rsidR="00881292" w:rsidRPr="00881292" w:rsidRDefault="00881292" w:rsidP="00881292">
      <w:pPr>
        <w:numPr>
          <w:ilvl w:val="0"/>
          <w:numId w:val="21"/>
        </w:numPr>
        <w:spacing w:line="360" w:lineRule="auto"/>
        <w:jc w:val="both"/>
        <w:rPr>
          <w:rFonts w:ascii="Aptos" w:hAnsi="Aptos" w:cs="Times New Roman"/>
        </w:rPr>
      </w:pPr>
      <w:r w:rsidRPr="00881292">
        <w:rPr>
          <w:rFonts w:ascii="Aptos" w:hAnsi="Aptos" w:cs="Times New Roman"/>
        </w:rPr>
        <w:t>Sobretasa y porcentaje ambiental: coexistencia de una sobretasa del 1,5×1000 sobre avalúo y de un porcentaje ambiental transitorio del 15 % sobre el impuesto predial para vigencias posteriores a actualización/rezago (dos años), con giro trimestral a la autoridad ambiental; requiere coherencia operativa con la gradualidad del impuesto.</w:t>
      </w:r>
    </w:p>
    <w:p w14:paraId="7DC7F05F" w14:textId="7A5B47AF" w:rsidR="00881292" w:rsidRPr="00881292" w:rsidRDefault="00881292" w:rsidP="00881292">
      <w:pPr>
        <w:numPr>
          <w:ilvl w:val="0"/>
          <w:numId w:val="21"/>
        </w:numPr>
        <w:spacing w:line="360" w:lineRule="auto"/>
        <w:jc w:val="both"/>
        <w:rPr>
          <w:rFonts w:ascii="Aptos" w:hAnsi="Aptos" w:cs="Times New Roman"/>
        </w:rPr>
      </w:pPr>
      <w:r w:rsidRPr="00881292">
        <w:rPr>
          <w:rFonts w:ascii="Aptos" w:hAnsi="Aptos" w:cs="Times New Roman"/>
        </w:rPr>
        <w:t xml:space="preserve">Beneficios, exenciones y prohibiciones, ambientales y de uso del suelo. Se establece como prohibido gravamen los parques naturales y públicos, vías, zonas de retiro de quebradas y zonas hídricas y de alto riesgo a nombre de entidad estatal; se concede beneficio del 50 % a zonas destinadas a la conservación de especies </w:t>
      </w:r>
      <w:r w:rsidRPr="00881292">
        <w:rPr>
          <w:rFonts w:ascii="Aptos" w:hAnsi="Aptos" w:cs="Times New Roman"/>
        </w:rPr>
        <w:t>nativas, exóticas</w:t>
      </w:r>
      <w:r w:rsidRPr="00881292">
        <w:rPr>
          <w:rFonts w:ascii="Aptos" w:hAnsi="Aptos" w:cs="Times New Roman"/>
        </w:rPr>
        <w:t xml:space="preserve"> y herbarios y se establece un tratamiento especial con descuento proporcional para predios con cultivos de consumo humano y conservación de bosques y fuentes hídricas, condicionado a certificación técnica, mantenimiento del área y paz y salvo.</w:t>
      </w:r>
    </w:p>
    <w:p w14:paraId="7A5D6B96" w14:textId="77777777" w:rsidR="00881292" w:rsidRPr="00881292" w:rsidRDefault="00881292" w:rsidP="00881292">
      <w:pPr>
        <w:spacing w:line="360" w:lineRule="auto"/>
        <w:jc w:val="both"/>
        <w:rPr>
          <w:rFonts w:ascii="Aptos" w:hAnsi="Aptos" w:cs="Times New Roman"/>
          <w:b/>
          <w:bCs/>
          <w:sz w:val="32"/>
          <w:szCs w:val="32"/>
        </w:rPr>
      </w:pPr>
      <w:r w:rsidRPr="00881292">
        <w:rPr>
          <w:rFonts w:ascii="Aptos" w:hAnsi="Aptos" w:cs="Times New Roman"/>
          <w:b/>
          <w:bCs/>
          <w:sz w:val="32"/>
          <w:szCs w:val="32"/>
        </w:rPr>
        <w:t>Recomendaciones</w:t>
      </w:r>
    </w:p>
    <w:p w14:paraId="6CF55C17" w14:textId="77777777" w:rsidR="00881292" w:rsidRPr="00881292" w:rsidRDefault="00881292" w:rsidP="00881292">
      <w:pPr>
        <w:numPr>
          <w:ilvl w:val="0"/>
          <w:numId w:val="22"/>
        </w:numPr>
        <w:spacing w:line="360" w:lineRule="auto"/>
        <w:jc w:val="both"/>
        <w:rPr>
          <w:rFonts w:ascii="Aptos" w:hAnsi="Aptos" w:cs="Times New Roman"/>
        </w:rPr>
      </w:pPr>
      <w:r w:rsidRPr="00881292">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1BDACF46" w14:textId="77777777" w:rsidR="00881292" w:rsidRPr="00881292" w:rsidRDefault="00881292" w:rsidP="00881292">
      <w:pPr>
        <w:numPr>
          <w:ilvl w:val="0"/>
          <w:numId w:val="22"/>
        </w:numPr>
        <w:spacing w:line="360" w:lineRule="auto"/>
        <w:jc w:val="both"/>
        <w:rPr>
          <w:rFonts w:ascii="Aptos" w:hAnsi="Aptos" w:cs="Times New Roman"/>
        </w:rPr>
      </w:pPr>
      <w:r w:rsidRPr="00881292">
        <w:rPr>
          <w:rFonts w:ascii="Aptos" w:hAnsi="Aptos" w:cs="Times New Roman"/>
        </w:rPr>
        <w:t>Gradualidad por actualización o rezago, evaluar la conveniencia de sustituir el “descuento en la tarifa” por una gradualidad creciente del impuesto causado, con escalones anuales que permitan transitar desde un cobro inicial reducido hasta la aplicación plena de la tarifa sobre el avalúo.</w:t>
      </w:r>
    </w:p>
    <w:p w14:paraId="344E8014" w14:textId="77777777" w:rsidR="00881292" w:rsidRPr="00881292" w:rsidRDefault="00881292" w:rsidP="00881292">
      <w:pPr>
        <w:numPr>
          <w:ilvl w:val="0"/>
          <w:numId w:val="22"/>
        </w:numPr>
        <w:spacing w:line="360" w:lineRule="auto"/>
        <w:jc w:val="both"/>
        <w:rPr>
          <w:rFonts w:ascii="Aptos" w:hAnsi="Aptos" w:cs="Times New Roman"/>
        </w:rPr>
      </w:pPr>
      <w:r w:rsidRPr="00881292">
        <w:rPr>
          <w:rFonts w:ascii="Aptos" w:hAnsi="Aptos" w:cs="Times New Roman"/>
        </w:rPr>
        <w:t>En el predial compensatorio, anexar metodología de base gravable y trazabilidad de las áreas certificadas por el gestor catastral; incorporar control de periodo y de sujetos responsables conforme al régimen especial citado.</w:t>
      </w:r>
    </w:p>
    <w:p w14:paraId="42945C54" w14:textId="77777777" w:rsidR="00881292" w:rsidRPr="00881292" w:rsidRDefault="00881292" w:rsidP="00881292">
      <w:pPr>
        <w:numPr>
          <w:ilvl w:val="0"/>
          <w:numId w:val="22"/>
        </w:numPr>
        <w:spacing w:line="360" w:lineRule="auto"/>
        <w:jc w:val="both"/>
        <w:rPr>
          <w:rFonts w:ascii="Aptos" w:hAnsi="Aptos" w:cs="Times New Roman"/>
        </w:rPr>
      </w:pPr>
      <w:r w:rsidRPr="00881292">
        <w:rPr>
          <w:rFonts w:ascii="Aptos" w:hAnsi="Aptos" w:cs="Times New Roman"/>
        </w:rPr>
        <w:lastRenderedPageBreak/>
        <w:t>Ajustar el procedimiento de determinación y notificación por factura para que el correo electrónico opere como mecanismo de divulgación complementaria y no como modo autónomo de notificación, manteniendo la inserción en web y la publicación física como ejes del procedimiento especial; incluir constancia de notificación y recurso aplicable.</w:t>
      </w:r>
    </w:p>
    <w:p w14:paraId="50A6CCEB" w14:textId="77777777" w:rsidR="00881292" w:rsidRPr="00881292" w:rsidRDefault="00881292" w:rsidP="00881292">
      <w:pPr>
        <w:numPr>
          <w:ilvl w:val="0"/>
          <w:numId w:val="22"/>
        </w:numPr>
        <w:spacing w:line="360" w:lineRule="auto"/>
        <w:jc w:val="both"/>
        <w:rPr>
          <w:rFonts w:ascii="Aptos" w:hAnsi="Aptos" w:cs="Times New Roman"/>
        </w:rPr>
      </w:pPr>
      <w:r w:rsidRPr="00881292">
        <w:rPr>
          <w:rFonts w:ascii="Aptos" w:hAnsi="Aptos" w:cs="Times New Roman"/>
        </w:rPr>
        <w:t>En abono anticipado y pronto pago, clarificar el tratamiento del “excedente” cuando varíe el avalúo o los elementos del tributo, la prelación de imputación de pagos y los efectos si hay tránsito de actualización/rezago entre el abono y la liquidación definitiva.</w:t>
      </w:r>
    </w:p>
    <w:p w14:paraId="2A103B60" w14:textId="77777777" w:rsidR="00881292" w:rsidRPr="00881292" w:rsidRDefault="00881292" w:rsidP="00881292">
      <w:pPr>
        <w:numPr>
          <w:ilvl w:val="0"/>
          <w:numId w:val="22"/>
        </w:numPr>
        <w:spacing w:line="360" w:lineRule="auto"/>
        <w:jc w:val="both"/>
        <w:rPr>
          <w:rFonts w:ascii="Aptos" w:hAnsi="Aptos" w:cs="Times New Roman"/>
        </w:rPr>
      </w:pPr>
      <w:r w:rsidRPr="00881292">
        <w:rPr>
          <w:rFonts w:ascii="Aptos" w:hAnsi="Aptos" w:cs="Times New Roman"/>
        </w:rPr>
        <w:t>En la sobretasa ambiental, articular los limites creados al incremento del IPU.</w:t>
      </w:r>
    </w:p>
    <w:p w14:paraId="4BC289D9" w14:textId="77777777" w:rsidR="00881292" w:rsidRPr="00881292" w:rsidRDefault="00881292" w:rsidP="00881292">
      <w:pPr>
        <w:numPr>
          <w:ilvl w:val="0"/>
          <w:numId w:val="22"/>
        </w:numPr>
        <w:spacing w:line="360" w:lineRule="auto"/>
        <w:jc w:val="both"/>
        <w:rPr>
          <w:rFonts w:ascii="Aptos" w:hAnsi="Aptos" w:cs="Times New Roman"/>
        </w:rPr>
      </w:pPr>
      <w:r w:rsidRPr="00881292">
        <w:rPr>
          <w:rFonts w:ascii="Aptos" w:hAnsi="Aptos" w:cs="Times New Roman"/>
        </w:rPr>
        <w:t>Beneficios, exenciones y prohibiciones con enfoque ambiental, de uso del suelo o protección: Se recomienda delimitar con precisión el objeto y alcance por categoría (prohibido gravamen, exención, beneficio), los requisitos de acceso (autoridad certificadora, vigencia, paz y salvo), las reglas de cómputo por área (solo porción protegida o afectada), los criterios de renovación y pérdida del beneficio.</w:t>
      </w:r>
    </w:p>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0794D" w14:textId="77777777" w:rsidR="00172E49" w:rsidRDefault="00172E49" w:rsidP="00707E60">
      <w:pPr>
        <w:spacing w:after="0" w:line="240" w:lineRule="auto"/>
      </w:pPr>
      <w:r>
        <w:separator/>
      </w:r>
    </w:p>
  </w:endnote>
  <w:endnote w:type="continuationSeparator" w:id="0">
    <w:p w14:paraId="0E584A60" w14:textId="77777777" w:rsidR="00172E49" w:rsidRDefault="00172E49"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2BAF5" w14:textId="77777777" w:rsidR="00172E49" w:rsidRDefault="00172E49" w:rsidP="00707E60">
      <w:pPr>
        <w:spacing w:after="0" w:line="240" w:lineRule="auto"/>
      </w:pPr>
      <w:r>
        <w:separator/>
      </w:r>
    </w:p>
  </w:footnote>
  <w:footnote w:type="continuationSeparator" w:id="0">
    <w:p w14:paraId="215B5772" w14:textId="77777777" w:rsidR="00172E49" w:rsidRDefault="00172E49"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24206B72"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775E5B">
                            <w:rPr>
                              <w:color w:val="000000" w:themeColor="text1"/>
                              <w:sz w:val="28"/>
                              <w:szCs w:val="28"/>
                            </w:rPr>
                            <w:t>Mutatá</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24206B72"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775E5B">
                      <w:rPr>
                        <w:color w:val="000000" w:themeColor="text1"/>
                        <w:sz w:val="28"/>
                        <w:szCs w:val="28"/>
                      </w:rPr>
                      <w:t>Mutatá</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122EFE"/>
    <w:multiLevelType w:val="hybridMultilevel"/>
    <w:tmpl w:val="23D2AE2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915868"/>
    <w:multiLevelType w:val="multilevel"/>
    <w:tmpl w:val="A068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AF223E"/>
    <w:multiLevelType w:val="multilevel"/>
    <w:tmpl w:val="DBA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07E97"/>
    <w:multiLevelType w:val="hybridMultilevel"/>
    <w:tmpl w:val="5FAA7C9C"/>
    <w:lvl w:ilvl="0" w:tplc="08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58340287"/>
    <w:multiLevelType w:val="hybridMultilevel"/>
    <w:tmpl w:val="300EF58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59711C35"/>
    <w:multiLevelType w:val="hybridMultilevel"/>
    <w:tmpl w:val="B17C976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8"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5"/>
  </w:num>
  <w:num w:numId="2" w16cid:durableId="1017347282">
    <w:abstractNumId w:val="11"/>
  </w:num>
  <w:num w:numId="3" w16cid:durableId="44450645">
    <w:abstractNumId w:val="18"/>
  </w:num>
  <w:num w:numId="4" w16cid:durableId="1953855267">
    <w:abstractNumId w:val="0"/>
  </w:num>
  <w:num w:numId="5" w16cid:durableId="279457733">
    <w:abstractNumId w:val="7"/>
  </w:num>
  <w:num w:numId="6" w16cid:durableId="829055416">
    <w:abstractNumId w:val="1"/>
  </w:num>
  <w:num w:numId="7" w16cid:durableId="1974747392">
    <w:abstractNumId w:val="4"/>
  </w:num>
  <w:num w:numId="8" w16cid:durableId="1342120387">
    <w:abstractNumId w:val="13"/>
  </w:num>
  <w:num w:numId="9" w16cid:durableId="350257001">
    <w:abstractNumId w:val="3"/>
  </w:num>
  <w:num w:numId="10" w16cid:durableId="1078140204">
    <w:abstractNumId w:val="8"/>
  </w:num>
  <w:num w:numId="11" w16cid:durableId="1792938771">
    <w:abstractNumId w:val="9"/>
  </w:num>
  <w:num w:numId="12" w16cid:durableId="1526560268">
    <w:abstractNumId w:val="19"/>
  </w:num>
  <w:num w:numId="13" w16cid:durableId="684139451">
    <w:abstractNumId w:val="20"/>
  </w:num>
  <w:num w:numId="14" w16cid:durableId="2066485375">
    <w:abstractNumId w:val="21"/>
  </w:num>
  <w:num w:numId="15" w16cid:durableId="1048799774">
    <w:abstractNumId w:val="2"/>
  </w:num>
  <w:num w:numId="16" w16cid:durableId="763765178">
    <w:abstractNumId w:val="12"/>
  </w:num>
  <w:num w:numId="17" w16cid:durableId="1841503235">
    <w:abstractNumId w:val="16"/>
  </w:num>
  <w:num w:numId="18" w16cid:durableId="850992304">
    <w:abstractNumId w:val="15"/>
  </w:num>
  <w:num w:numId="19" w16cid:durableId="506945400">
    <w:abstractNumId w:val="17"/>
  </w:num>
  <w:num w:numId="20" w16cid:durableId="1964997161">
    <w:abstractNumId w:val="6"/>
  </w:num>
  <w:num w:numId="21" w16cid:durableId="1620525228">
    <w:abstractNumId w:val="14"/>
  </w:num>
  <w:num w:numId="22" w16cid:durableId="19712813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172E49"/>
    <w:rsid w:val="00211E44"/>
    <w:rsid w:val="0023618C"/>
    <w:rsid w:val="0027082C"/>
    <w:rsid w:val="0031580C"/>
    <w:rsid w:val="003650D0"/>
    <w:rsid w:val="003A7CEA"/>
    <w:rsid w:val="003E2241"/>
    <w:rsid w:val="004107CA"/>
    <w:rsid w:val="004211E5"/>
    <w:rsid w:val="005025F7"/>
    <w:rsid w:val="005422DF"/>
    <w:rsid w:val="005B7CC0"/>
    <w:rsid w:val="005C3FCA"/>
    <w:rsid w:val="005D08ED"/>
    <w:rsid w:val="005F7A75"/>
    <w:rsid w:val="00605B4C"/>
    <w:rsid w:val="00665846"/>
    <w:rsid w:val="006A249B"/>
    <w:rsid w:val="006C7AFA"/>
    <w:rsid w:val="00701CC9"/>
    <w:rsid w:val="00707E60"/>
    <w:rsid w:val="00723620"/>
    <w:rsid w:val="00775E5B"/>
    <w:rsid w:val="00813F67"/>
    <w:rsid w:val="008440F9"/>
    <w:rsid w:val="00844CC8"/>
    <w:rsid w:val="00845F02"/>
    <w:rsid w:val="00855468"/>
    <w:rsid w:val="00857B4F"/>
    <w:rsid w:val="00881292"/>
    <w:rsid w:val="008A3682"/>
    <w:rsid w:val="009D1788"/>
    <w:rsid w:val="009D1F9E"/>
    <w:rsid w:val="00A27409"/>
    <w:rsid w:val="00A456B7"/>
    <w:rsid w:val="00A53B01"/>
    <w:rsid w:val="00A55C9A"/>
    <w:rsid w:val="00A60686"/>
    <w:rsid w:val="00A741EE"/>
    <w:rsid w:val="00A96461"/>
    <w:rsid w:val="00AA7DD4"/>
    <w:rsid w:val="00B9278F"/>
    <w:rsid w:val="00B9597A"/>
    <w:rsid w:val="00BC7035"/>
    <w:rsid w:val="00BE3801"/>
    <w:rsid w:val="00C04706"/>
    <w:rsid w:val="00C24423"/>
    <w:rsid w:val="00C3440A"/>
    <w:rsid w:val="00C4509C"/>
    <w:rsid w:val="00C942B0"/>
    <w:rsid w:val="00C956B7"/>
    <w:rsid w:val="00D37EF2"/>
    <w:rsid w:val="00DB14E5"/>
    <w:rsid w:val="00DD0016"/>
    <w:rsid w:val="00E0238B"/>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823</Words>
  <Characters>4694</Characters>
  <Application>Microsoft Office Word</Application>
  <DocSecurity>0</DocSecurity>
  <Lines>39</Lines>
  <Paragraphs>11</Paragraphs>
  <ScaleCrop>false</ScaleCrop>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19</cp:revision>
  <dcterms:created xsi:type="dcterms:W3CDTF">2025-10-23T17:12:00Z</dcterms:created>
  <dcterms:modified xsi:type="dcterms:W3CDTF">2025-11-04T16:09:00Z</dcterms:modified>
</cp:coreProperties>
</file>