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7DFCCDD8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180D84">
        <w:rPr>
          <w:color w:val="000000" w:themeColor="text1"/>
          <w:sz w:val="44"/>
          <w:szCs w:val="44"/>
        </w:rPr>
        <w:t>Pueblorrico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614BA322" w14:textId="77777777" w:rsidR="009F1B3C" w:rsidRPr="009F1B3C" w:rsidRDefault="009F1B3C" w:rsidP="009F1B3C">
      <w:pPr>
        <w:spacing w:line="360" w:lineRule="auto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lastRenderedPageBreak/>
        <w:t>El estado actual de su normatividad tributaria se establece en el Acuerdo 08 de 2014.</w:t>
      </w:r>
    </w:p>
    <w:p w14:paraId="2DBE2A51" w14:textId="77777777" w:rsidR="009F1B3C" w:rsidRPr="009F1B3C" w:rsidRDefault="009F1B3C" w:rsidP="009F1B3C">
      <w:pPr>
        <w:spacing w:line="360" w:lineRule="auto"/>
        <w:ind w:left="360"/>
        <w:jc w:val="both"/>
        <w:rPr>
          <w:rFonts w:ascii="Aptos" w:hAnsi="Aptos" w:cs="Times New Roman"/>
          <w:b/>
          <w:bCs/>
          <w:sz w:val="32"/>
          <w:szCs w:val="32"/>
        </w:rPr>
      </w:pPr>
      <w:r w:rsidRPr="009F1B3C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736A2C88" w14:textId="77777777" w:rsidR="009F1B3C" w:rsidRPr="009F1B3C" w:rsidRDefault="009F1B3C" w:rsidP="009F1B3C">
      <w:pPr>
        <w:numPr>
          <w:ilvl w:val="0"/>
          <w:numId w:val="25"/>
        </w:numPr>
        <w:spacing w:line="360" w:lineRule="auto"/>
        <w:jc w:val="both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4B3B45B5" w14:textId="77777777" w:rsidR="009F1B3C" w:rsidRPr="009F1B3C" w:rsidRDefault="009F1B3C" w:rsidP="009F1B3C">
      <w:pPr>
        <w:numPr>
          <w:ilvl w:val="0"/>
          <w:numId w:val="25"/>
        </w:numPr>
        <w:spacing w:line="360" w:lineRule="auto"/>
        <w:jc w:val="both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t>Antigüedad normativa superior a una década, con desalineación frente a prácticas vigentes (clasificación LADM-COL v4.1, límites de incremento por actualización/rezago y mejores prácticas de determinación/notificación por factura).</w:t>
      </w:r>
    </w:p>
    <w:p w14:paraId="3BEE0499" w14:textId="77777777" w:rsidR="009F1B3C" w:rsidRPr="009F1B3C" w:rsidRDefault="009F1B3C" w:rsidP="009F1B3C">
      <w:pPr>
        <w:numPr>
          <w:ilvl w:val="0"/>
          <w:numId w:val="25"/>
        </w:numPr>
        <w:spacing w:line="360" w:lineRule="auto"/>
        <w:jc w:val="both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t>Estructura tarifaria con milajes entre 5‰ y 16‰ por destinación y hasta 33‰ para lotes urbanizables no urbanizados y urbanizados no edificados; la tabla existe, pero su taxonomía y escalas no están alineadas con LADM-COL v4.1.</w:t>
      </w:r>
    </w:p>
    <w:p w14:paraId="3533453D" w14:textId="77777777" w:rsidR="009F1B3C" w:rsidRPr="009F1B3C" w:rsidRDefault="009F1B3C" w:rsidP="009F1B3C">
      <w:pPr>
        <w:numPr>
          <w:ilvl w:val="0"/>
          <w:numId w:val="25"/>
        </w:numPr>
        <w:spacing w:line="360" w:lineRule="auto"/>
        <w:jc w:val="both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t>Determinación por factura prevista, pero sin desarrollo suficiente de contenido mínimo ni de reglas de notificación (página web/cartelera/medios electrónicos) para blindar su ejecutividad.</w:t>
      </w:r>
    </w:p>
    <w:p w14:paraId="0AF3FEF8" w14:textId="77777777" w:rsidR="009F1B3C" w:rsidRPr="009F1B3C" w:rsidRDefault="009F1B3C" w:rsidP="009F1B3C">
      <w:pPr>
        <w:numPr>
          <w:ilvl w:val="0"/>
          <w:numId w:val="25"/>
        </w:numPr>
        <w:spacing w:line="360" w:lineRule="auto"/>
        <w:jc w:val="both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t>Cobro en cuatro cuotas trimestrales; requiere articulación explícita con el calendario tributario y reglas de mora para evitar ambigüedades.</w:t>
      </w:r>
    </w:p>
    <w:p w14:paraId="4D892059" w14:textId="77777777" w:rsidR="009F1B3C" w:rsidRPr="009F1B3C" w:rsidRDefault="009F1B3C" w:rsidP="009F1B3C">
      <w:pPr>
        <w:numPr>
          <w:ilvl w:val="0"/>
          <w:numId w:val="25"/>
        </w:numPr>
        <w:spacing w:line="360" w:lineRule="auto"/>
        <w:jc w:val="both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t>Mezcla de “prohibido gravamen” y “exenciones”, con riesgo de confusión entre exclusión del hecho imponible y exoneración del tributo.</w:t>
      </w:r>
    </w:p>
    <w:p w14:paraId="20AACF46" w14:textId="77777777" w:rsidR="009F1B3C" w:rsidRPr="009F1B3C" w:rsidRDefault="009F1B3C" w:rsidP="009F1B3C">
      <w:pPr>
        <w:numPr>
          <w:ilvl w:val="0"/>
          <w:numId w:val="25"/>
        </w:numPr>
        <w:spacing w:line="360" w:lineRule="auto"/>
        <w:jc w:val="both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t>Catálogo de “prohibido gravamen” consistente, pero debe separarse técnicamente de las exenciones para evitar duplicidades.</w:t>
      </w:r>
    </w:p>
    <w:p w14:paraId="53DE7B35" w14:textId="77777777" w:rsidR="009F1B3C" w:rsidRPr="009F1B3C" w:rsidRDefault="009F1B3C" w:rsidP="009F1B3C">
      <w:pPr>
        <w:numPr>
          <w:ilvl w:val="0"/>
          <w:numId w:val="25"/>
        </w:numPr>
        <w:spacing w:line="360" w:lineRule="auto"/>
        <w:jc w:val="both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t>Exenciones sin componentes ambientales; alcance y vigencia requieren control y reporte de costo fiscal.</w:t>
      </w:r>
    </w:p>
    <w:p w14:paraId="192984BC" w14:textId="77777777" w:rsidR="009F1B3C" w:rsidRPr="009F1B3C" w:rsidRDefault="009F1B3C" w:rsidP="009F1B3C">
      <w:pPr>
        <w:numPr>
          <w:ilvl w:val="0"/>
          <w:numId w:val="25"/>
        </w:numPr>
        <w:spacing w:line="360" w:lineRule="auto"/>
        <w:jc w:val="both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t>Mecanismos de alivio a víctimas con suspensión de términos y restricciones de cobro; falta periodicidad de revisión y mandato de estimación del impacto fiscal.</w:t>
      </w:r>
    </w:p>
    <w:p w14:paraId="68D5EA06" w14:textId="77777777" w:rsidR="009F1B3C" w:rsidRPr="009F1B3C" w:rsidRDefault="009F1B3C" w:rsidP="009F1B3C">
      <w:pPr>
        <w:numPr>
          <w:ilvl w:val="0"/>
          <w:numId w:val="25"/>
        </w:numPr>
        <w:spacing w:line="360" w:lineRule="auto"/>
        <w:jc w:val="both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lastRenderedPageBreak/>
        <w:t>Ausencia de reglas claras de límites y gradualidad para escenarios de actualización o rezago catastral; se requiere transición para contener incrementos abruptos y coherencia con sobretasas asociadas.</w:t>
      </w:r>
    </w:p>
    <w:p w14:paraId="717FDE30" w14:textId="77777777" w:rsidR="009F1B3C" w:rsidRPr="009F1B3C" w:rsidRDefault="009F1B3C" w:rsidP="009F1B3C">
      <w:pPr>
        <w:numPr>
          <w:ilvl w:val="0"/>
          <w:numId w:val="25"/>
        </w:numPr>
        <w:spacing w:line="360" w:lineRule="auto"/>
        <w:jc w:val="both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t>Beneficios, exenciones y prohibiciones con enfoque ambiental y uso del suelo: “prohibido gravamen” incluye parques naturales/públicos; no se identifican exenciones ambientales; la sobretasa ambiental se liquida sobre el avalúo catastral a una tarifa del 1,5‰.</w:t>
      </w:r>
    </w:p>
    <w:p w14:paraId="517BDADC" w14:textId="77777777" w:rsidR="009F1B3C" w:rsidRPr="009F1B3C" w:rsidRDefault="009F1B3C" w:rsidP="009F1B3C">
      <w:pPr>
        <w:spacing w:line="360" w:lineRule="auto"/>
        <w:ind w:left="360"/>
        <w:jc w:val="both"/>
        <w:rPr>
          <w:rFonts w:ascii="Aptos" w:hAnsi="Aptos" w:cs="Times New Roman"/>
          <w:b/>
          <w:bCs/>
          <w:sz w:val="32"/>
          <w:szCs w:val="32"/>
        </w:rPr>
      </w:pPr>
      <w:r w:rsidRPr="009F1B3C">
        <w:rPr>
          <w:rFonts w:ascii="Aptos" w:hAnsi="Aptos" w:cs="Times New Roman"/>
          <w:b/>
          <w:bCs/>
          <w:sz w:val="32"/>
          <w:szCs w:val="32"/>
        </w:rPr>
        <w:t>Recomendaciones</w:t>
      </w:r>
    </w:p>
    <w:p w14:paraId="17881AB1" w14:textId="77777777" w:rsidR="009F1B3C" w:rsidRPr="009F1B3C" w:rsidRDefault="009F1B3C" w:rsidP="009F1B3C">
      <w:pPr>
        <w:numPr>
          <w:ilvl w:val="0"/>
          <w:numId w:val="26"/>
        </w:numPr>
        <w:spacing w:line="360" w:lineRule="auto"/>
        <w:jc w:val="both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t>Actualizar la tabla de destinos económicos conforme a la Resolución 2025060163216, alineando la matriz tarifaria con el modelo LADM-COL v4.1 para que todas las categorías tengan tarifa definida y se eviten pérdidas de recaudo.</w:t>
      </w:r>
    </w:p>
    <w:p w14:paraId="5B74B9F0" w14:textId="77777777" w:rsidR="009F1B3C" w:rsidRPr="009F1B3C" w:rsidRDefault="009F1B3C" w:rsidP="009F1B3C">
      <w:pPr>
        <w:numPr>
          <w:ilvl w:val="0"/>
          <w:numId w:val="26"/>
        </w:numPr>
        <w:spacing w:line="360" w:lineRule="auto"/>
        <w:jc w:val="both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t>Sustituir integralmente el capítulo del IPU mediante nueva redacción que armonice definiciones, clasificaciones y tarifas con LADM-COL v4.1 y la práctica catastral vigente en Antioquia.</w:t>
      </w:r>
    </w:p>
    <w:p w14:paraId="280E0A86" w14:textId="77777777" w:rsidR="009F1B3C" w:rsidRPr="009F1B3C" w:rsidRDefault="009F1B3C" w:rsidP="009F1B3C">
      <w:pPr>
        <w:numPr>
          <w:ilvl w:val="0"/>
          <w:numId w:val="26"/>
        </w:numPr>
        <w:spacing w:line="360" w:lineRule="auto"/>
        <w:jc w:val="both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t>Reestructurar la matriz de milajes: criterios uniformes por destinación económica y rangos de avalúo; eliminación de categorías ambiguas; reglas claras de actualización anual (p. ej., indexación por UVT), evitando equivalencias rígidas en pesos.</w:t>
      </w:r>
    </w:p>
    <w:p w14:paraId="3DB68475" w14:textId="77777777" w:rsidR="009F1B3C" w:rsidRPr="009F1B3C" w:rsidRDefault="009F1B3C" w:rsidP="009F1B3C">
      <w:pPr>
        <w:numPr>
          <w:ilvl w:val="0"/>
          <w:numId w:val="26"/>
        </w:numPr>
        <w:spacing w:line="360" w:lineRule="auto"/>
        <w:jc w:val="both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t>Incorporar límites y un esquema de transición/gradualidad para procesos de actualización y rezago catastral y de igual manera aplicar estas limitantes a las sobretasas atadas al IPU o al avaluó catastral .</w:t>
      </w:r>
    </w:p>
    <w:p w14:paraId="1E0444D0" w14:textId="77777777" w:rsidR="009F1B3C" w:rsidRPr="009F1B3C" w:rsidRDefault="009F1B3C" w:rsidP="009F1B3C">
      <w:pPr>
        <w:numPr>
          <w:ilvl w:val="0"/>
          <w:numId w:val="26"/>
        </w:numPr>
        <w:spacing w:line="360" w:lineRule="auto"/>
        <w:jc w:val="both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t>Desarrollar la determinación oficial por factura: contenido mínimo (identificación del predio, base, tarifa, liquidación, fundamentos y recursos), y régimen de notificación por medios físicos y electrónicos con constancias para sustentar el mérito ejecutivo.</w:t>
      </w:r>
    </w:p>
    <w:p w14:paraId="24D09DE8" w14:textId="77777777" w:rsidR="009F1B3C" w:rsidRPr="009F1B3C" w:rsidRDefault="009F1B3C" w:rsidP="009F1B3C">
      <w:pPr>
        <w:numPr>
          <w:ilvl w:val="0"/>
          <w:numId w:val="26"/>
        </w:numPr>
        <w:spacing w:line="360" w:lineRule="auto"/>
        <w:jc w:val="both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t>Separar de forma estricta “prohibido gravamen” y “exenciones”, con causales de pérdida automática cuando cambie el uso o el destino del inmueble, y redacción sistemática en capítulos independientes.</w:t>
      </w:r>
    </w:p>
    <w:p w14:paraId="7246858D" w14:textId="77777777" w:rsidR="009F1B3C" w:rsidRPr="009F1B3C" w:rsidRDefault="009F1B3C" w:rsidP="009F1B3C">
      <w:pPr>
        <w:numPr>
          <w:ilvl w:val="0"/>
          <w:numId w:val="26"/>
        </w:numPr>
        <w:spacing w:line="360" w:lineRule="auto"/>
        <w:jc w:val="both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t>Definir el incentivo de “pronto pago” con porcentaje, ventanas temporales y no acumulabilidad, articulado con el calendario tributario anual.</w:t>
      </w:r>
    </w:p>
    <w:p w14:paraId="167E5BE0" w14:textId="77777777" w:rsidR="009F1B3C" w:rsidRPr="009F1B3C" w:rsidRDefault="009F1B3C" w:rsidP="009F1B3C">
      <w:pPr>
        <w:numPr>
          <w:ilvl w:val="0"/>
          <w:numId w:val="26"/>
        </w:numPr>
        <w:spacing w:line="360" w:lineRule="auto"/>
        <w:jc w:val="both"/>
        <w:rPr>
          <w:rFonts w:ascii="Aptos" w:hAnsi="Aptos" w:cs="Times New Roman"/>
        </w:rPr>
      </w:pPr>
      <w:r w:rsidRPr="009F1B3C">
        <w:rPr>
          <w:rFonts w:ascii="Aptos" w:hAnsi="Aptos" w:cs="Times New Roman"/>
        </w:rPr>
        <w:lastRenderedPageBreak/>
        <w:t>En los alivios a víctimas, establecer periodicidad de revisión, obligación de estimación y reporte del costo fiscal, verificación periódica de soportes.</w:t>
      </w:r>
    </w:p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6E795" w14:textId="77777777" w:rsidR="00816BD4" w:rsidRDefault="00816BD4" w:rsidP="00707E60">
      <w:pPr>
        <w:spacing w:after="0" w:line="240" w:lineRule="auto"/>
      </w:pPr>
      <w:r>
        <w:separator/>
      </w:r>
    </w:p>
  </w:endnote>
  <w:endnote w:type="continuationSeparator" w:id="0">
    <w:p w14:paraId="5B1A06A5" w14:textId="77777777" w:rsidR="00816BD4" w:rsidRDefault="00816BD4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B078B" w14:textId="77777777" w:rsidR="00816BD4" w:rsidRDefault="00816BD4" w:rsidP="00707E60">
      <w:pPr>
        <w:spacing w:after="0" w:line="240" w:lineRule="auto"/>
      </w:pPr>
      <w:r>
        <w:separator/>
      </w:r>
    </w:p>
  </w:footnote>
  <w:footnote w:type="continuationSeparator" w:id="0">
    <w:p w14:paraId="1E6DB4B6" w14:textId="77777777" w:rsidR="00816BD4" w:rsidRDefault="00816BD4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5FDBF8E1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180D84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Pueblorrico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5FDBF8E1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180D84">
                      <w:rPr>
                        <w:color w:val="000000" w:themeColor="text1"/>
                        <w:sz w:val="28"/>
                        <w:szCs w:val="28"/>
                      </w:rPr>
                      <w:t>Pueblorrico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9CD"/>
    <w:multiLevelType w:val="multilevel"/>
    <w:tmpl w:val="51B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14A8"/>
    <w:multiLevelType w:val="multilevel"/>
    <w:tmpl w:val="2C2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922E8"/>
    <w:multiLevelType w:val="multilevel"/>
    <w:tmpl w:val="B3B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5421A"/>
    <w:multiLevelType w:val="multilevel"/>
    <w:tmpl w:val="3CE4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4216E"/>
    <w:multiLevelType w:val="multilevel"/>
    <w:tmpl w:val="867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C7C0D"/>
    <w:multiLevelType w:val="multilevel"/>
    <w:tmpl w:val="AA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25BA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AA28CE"/>
    <w:multiLevelType w:val="multilevel"/>
    <w:tmpl w:val="373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60A7F"/>
    <w:multiLevelType w:val="multilevel"/>
    <w:tmpl w:val="C788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86842"/>
    <w:multiLevelType w:val="multilevel"/>
    <w:tmpl w:val="E24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D46604"/>
    <w:multiLevelType w:val="multilevel"/>
    <w:tmpl w:val="F92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971A7"/>
    <w:multiLevelType w:val="multilevel"/>
    <w:tmpl w:val="CCF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A27F7"/>
    <w:multiLevelType w:val="multilevel"/>
    <w:tmpl w:val="BAE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C70AF"/>
    <w:multiLevelType w:val="multilevel"/>
    <w:tmpl w:val="982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15868"/>
    <w:multiLevelType w:val="multilevel"/>
    <w:tmpl w:val="A06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AF223E"/>
    <w:multiLevelType w:val="multilevel"/>
    <w:tmpl w:val="DBA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CE0E1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246065"/>
    <w:multiLevelType w:val="multilevel"/>
    <w:tmpl w:val="AD1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C0014"/>
    <w:multiLevelType w:val="multilevel"/>
    <w:tmpl w:val="3A6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C7F00"/>
    <w:multiLevelType w:val="multilevel"/>
    <w:tmpl w:val="F27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527C6"/>
    <w:multiLevelType w:val="multilevel"/>
    <w:tmpl w:val="2DE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9E3568"/>
    <w:multiLevelType w:val="multilevel"/>
    <w:tmpl w:val="412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11"/>
  </w:num>
  <w:num w:numId="2" w16cid:durableId="1017347282">
    <w:abstractNumId w:val="17"/>
  </w:num>
  <w:num w:numId="3" w16cid:durableId="44450645">
    <w:abstractNumId w:val="20"/>
  </w:num>
  <w:num w:numId="4" w16cid:durableId="1953855267">
    <w:abstractNumId w:val="1"/>
  </w:num>
  <w:num w:numId="5" w16cid:durableId="1281302291">
    <w:abstractNumId w:val="7"/>
  </w:num>
  <w:num w:numId="6" w16cid:durableId="198319745">
    <w:abstractNumId w:val="19"/>
  </w:num>
  <w:num w:numId="7" w16cid:durableId="1222793921">
    <w:abstractNumId w:val="2"/>
  </w:num>
  <w:num w:numId="8" w16cid:durableId="1663466582">
    <w:abstractNumId w:val="21"/>
  </w:num>
  <w:num w:numId="9" w16cid:durableId="1601404175">
    <w:abstractNumId w:val="25"/>
  </w:num>
  <w:num w:numId="10" w16cid:durableId="1696037023">
    <w:abstractNumId w:val="23"/>
  </w:num>
  <w:num w:numId="11" w16cid:durableId="1726874531">
    <w:abstractNumId w:val="6"/>
  </w:num>
  <w:num w:numId="12" w16cid:durableId="1308511851">
    <w:abstractNumId w:val="14"/>
  </w:num>
  <w:num w:numId="13" w16cid:durableId="470710239">
    <w:abstractNumId w:val="10"/>
  </w:num>
  <w:num w:numId="14" w16cid:durableId="335232453">
    <w:abstractNumId w:val="0"/>
  </w:num>
  <w:num w:numId="15" w16cid:durableId="864756385">
    <w:abstractNumId w:val="22"/>
  </w:num>
  <w:num w:numId="16" w16cid:durableId="1808812370">
    <w:abstractNumId w:val="8"/>
  </w:num>
  <w:num w:numId="17" w16cid:durableId="230238942">
    <w:abstractNumId w:val="24"/>
  </w:num>
  <w:num w:numId="18" w16cid:durableId="1750955448">
    <w:abstractNumId w:val="15"/>
  </w:num>
  <w:num w:numId="19" w16cid:durableId="1620525228">
    <w:abstractNumId w:val="18"/>
  </w:num>
  <w:num w:numId="20" w16cid:durableId="1971281397">
    <w:abstractNumId w:val="16"/>
  </w:num>
  <w:num w:numId="21" w16cid:durableId="898437512">
    <w:abstractNumId w:val="12"/>
  </w:num>
  <w:num w:numId="22" w16cid:durableId="1857577869">
    <w:abstractNumId w:val="13"/>
  </w:num>
  <w:num w:numId="23" w16cid:durableId="2099017172">
    <w:abstractNumId w:val="4"/>
  </w:num>
  <w:num w:numId="24" w16cid:durableId="247349472">
    <w:abstractNumId w:val="5"/>
  </w:num>
  <w:num w:numId="25" w16cid:durableId="999231555">
    <w:abstractNumId w:val="9"/>
  </w:num>
  <w:num w:numId="26" w16cid:durableId="720834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84B98"/>
    <w:rsid w:val="00087C16"/>
    <w:rsid w:val="000A76FA"/>
    <w:rsid w:val="000C2026"/>
    <w:rsid w:val="001105DF"/>
    <w:rsid w:val="00120797"/>
    <w:rsid w:val="00134527"/>
    <w:rsid w:val="0016665C"/>
    <w:rsid w:val="00180D84"/>
    <w:rsid w:val="001B556D"/>
    <w:rsid w:val="00211E44"/>
    <w:rsid w:val="0023618C"/>
    <w:rsid w:val="00280F9A"/>
    <w:rsid w:val="002A4167"/>
    <w:rsid w:val="003650D0"/>
    <w:rsid w:val="003A7CEA"/>
    <w:rsid w:val="003E2241"/>
    <w:rsid w:val="004107CA"/>
    <w:rsid w:val="004671B7"/>
    <w:rsid w:val="005422DF"/>
    <w:rsid w:val="005B772A"/>
    <w:rsid w:val="005D08ED"/>
    <w:rsid w:val="005F7A75"/>
    <w:rsid w:val="00605B4C"/>
    <w:rsid w:val="00656CE7"/>
    <w:rsid w:val="00665846"/>
    <w:rsid w:val="006A249B"/>
    <w:rsid w:val="00707E60"/>
    <w:rsid w:val="00745C46"/>
    <w:rsid w:val="00813F67"/>
    <w:rsid w:val="00816BD4"/>
    <w:rsid w:val="00844CC8"/>
    <w:rsid w:val="00845F02"/>
    <w:rsid w:val="00852ADC"/>
    <w:rsid w:val="00855468"/>
    <w:rsid w:val="008A01C7"/>
    <w:rsid w:val="00944C88"/>
    <w:rsid w:val="0096088F"/>
    <w:rsid w:val="009D1F9E"/>
    <w:rsid w:val="009F1B3C"/>
    <w:rsid w:val="00A27409"/>
    <w:rsid w:val="00A407A7"/>
    <w:rsid w:val="00A456B7"/>
    <w:rsid w:val="00A55C9A"/>
    <w:rsid w:val="00A566B6"/>
    <w:rsid w:val="00A60686"/>
    <w:rsid w:val="00A96461"/>
    <w:rsid w:val="00AA7DD4"/>
    <w:rsid w:val="00AE2D50"/>
    <w:rsid w:val="00BB442A"/>
    <w:rsid w:val="00BC7035"/>
    <w:rsid w:val="00C04706"/>
    <w:rsid w:val="00C25E4F"/>
    <w:rsid w:val="00C942B0"/>
    <w:rsid w:val="00D37EF2"/>
    <w:rsid w:val="00DB14E5"/>
    <w:rsid w:val="00DD0016"/>
    <w:rsid w:val="00E20840"/>
    <w:rsid w:val="00E608BE"/>
    <w:rsid w:val="00E733D1"/>
    <w:rsid w:val="00EF712C"/>
    <w:rsid w:val="00F244D0"/>
    <w:rsid w:val="00F27231"/>
    <w:rsid w:val="00F65205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22</cp:revision>
  <dcterms:created xsi:type="dcterms:W3CDTF">2025-10-23T17:12:00Z</dcterms:created>
  <dcterms:modified xsi:type="dcterms:W3CDTF">2025-11-04T16:15:00Z</dcterms:modified>
</cp:coreProperties>
</file>