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D8AD067"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20023A">
        <w:rPr>
          <w:color w:val="000000" w:themeColor="text1"/>
          <w:sz w:val="44"/>
          <w:szCs w:val="44"/>
        </w:rPr>
        <w:t>Puerto Berrio</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79382F86" w14:textId="77777777" w:rsidR="00596DA3" w:rsidRPr="00596DA3" w:rsidRDefault="00596DA3" w:rsidP="00596DA3">
      <w:pPr>
        <w:spacing w:line="360" w:lineRule="auto"/>
        <w:rPr>
          <w:rFonts w:ascii="Aptos" w:hAnsi="Aptos" w:cs="Times New Roman"/>
        </w:rPr>
      </w:pPr>
      <w:r w:rsidRPr="00596DA3">
        <w:rPr>
          <w:rFonts w:ascii="Aptos" w:hAnsi="Aptos" w:cs="Times New Roman"/>
        </w:rPr>
        <w:lastRenderedPageBreak/>
        <w:t>El estado actual de su normatividad tributaria se establece en el Acuerdo 23 de 2021.</w:t>
      </w:r>
    </w:p>
    <w:p w14:paraId="7B842987" w14:textId="77777777" w:rsidR="00596DA3" w:rsidRPr="00596DA3" w:rsidRDefault="00596DA3" w:rsidP="00596DA3">
      <w:pPr>
        <w:spacing w:line="360" w:lineRule="auto"/>
        <w:jc w:val="both"/>
        <w:rPr>
          <w:rFonts w:ascii="Aptos" w:hAnsi="Aptos" w:cs="Times New Roman"/>
          <w:b/>
          <w:bCs/>
          <w:sz w:val="32"/>
          <w:szCs w:val="32"/>
        </w:rPr>
      </w:pPr>
      <w:r w:rsidRPr="00596DA3">
        <w:rPr>
          <w:rFonts w:ascii="Aptos" w:hAnsi="Aptos" w:cs="Times New Roman"/>
          <w:b/>
          <w:bCs/>
          <w:sz w:val="32"/>
          <w:szCs w:val="32"/>
        </w:rPr>
        <w:t>Hallazgos</w:t>
      </w:r>
    </w:p>
    <w:p w14:paraId="183A1802"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7B7B0DD"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Elementos y estructura del IPU: se consagran autorización legal, naturaleza real, elementos del tributo y matriz por destinos económicos; el rango tarifario va de 3,2 × 1.000 (mínima) a 20 × 1.000 (máxima). Se destaca un trato preferente para predios habitacionales estratos 1 y 2 cuyo avalúo no supere 3.380 UVT; es necesario precisar la operatividad (rango UVT, prueba del estrato y vigencia) para evitar controversias de acceso y permanencia en el beneficio.</w:t>
      </w:r>
    </w:p>
    <w:p w14:paraId="2D08C13D"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Límites al impuesto: se indica la adopción de límites conforme a la Ley 1995 de 2019; no se regula la figura de rezago catastral, lo que deja sin marco la transición cuando existan actualizaciones por etapas o brechas de formación y puede producir variaciones abruptas entre vigencias.</w:t>
      </w:r>
    </w:p>
    <w:p w14:paraId="43EA086B"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Sobretasa ambiental: se fija 15 % sobre el total del recaudo del IPU con destino a la autoridad ambiental. La regla es coherente en cuanto a base sobre recaudo; conviene consolidar el procedimiento de giro y conciliación con el IPU (periodicidad, soportes y control interno) para asegurar trazabilidad.</w:t>
      </w:r>
    </w:p>
    <w:p w14:paraId="0451C0C0"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Alumbrado público: se crea una sobretasa de 1 × 1.000. Debe definirse con precisión su hecho generador, base y metodología de cobro, así como su articulación con procesos de actualización o rezago, para que las transiciones tarifarias no generen incrementos desproporcionados ni conflictos de competencia con el régimen técnico del servicio.</w:t>
      </w:r>
    </w:p>
    <w:p w14:paraId="4F5C2AFD"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 xml:space="preserve">Sobretasa bomberil: se circunscribe al IPU y no al avalúo catastral; en esa medida, el límite del IPU impacta también la sobretasa. Se requiere claridad normativa sobre base, hecho generador, tarifa y orden de aplicación frente a los límites del IPU para evitar </w:t>
      </w:r>
      <w:proofErr w:type="spellStart"/>
      <w:r w:rsidRPr="00596DA3">
        <w:rPr>
          <w:rFonts w:ascii="Aptos" w:hAnsi="Aptos" w:cs="Times New Roman"/>
        </w:rPr>
        <w:t>subrecaudos</w:t>
      </w:r>
      <w:proofErr w:type="spellEnd"/>
      <w:r w:rsidRPr="00596DA3">
        <w:rPr>
          <w:rFonts w:ascii="Aptos" w:hAnsi="Aptos" w:cs="Times New Roman"/>
        </w:rPr>
        <w:t xml:space="preserve"> o interpretaciones extensivas.</w:t>
      </w:r>
    </w:p>
    <w:p w14:paraId="1DEA1051"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 xml:space="preserve">Exenciones y tratamientos especiales se incluyen, entre otros, monumentos nacionales sin ánimo de lucro, delegaciones extranjeras, culto y educación de entidades religiosas, cuerpo de bomberos y un tratamiento especial al 3 × 1.000 por hasta 7 años para ciertas destinaciones (sindicatos, JAC, inmuebles educativos sin ánimo de lucro, seguridad ciudadana). </w:t>
      </w:r>
    </w:p>
    <w:p w14:paraId="3780B630" w14:textId="77777777" w:rsidR="00596DA3" w:rsidRPr="00596DA3" w:rsidRDefault="00596DA3" w:rsidP="00596DA3">
      <w:pPr>
        <w:pStyle w:val="ListParagraph"/>
        <w:rPr>
          <w:rFonts w:ascii="Aptos" w:hAnsi="Aptos" w:cs="Times New Roman"/>
        </w:rPr>
      </w:pPr>
    </w:p>
    <w:p w14:paraId="5FDA2335"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 xml:space="preserve">Se prevé exención para inmuebles de la autoridad ambiental destinados a conservación (hoyas, laderas, escarpas, conducción de aguas, embalses, colectores, tanques y plantas de tratamiento) y para áreas de conservación de aguas, fauna y flora reglamentadas por el Concejo, con desenglobe y certificación de catastro. </w:t>
      </w:r>
    </w:p>
    <w:p w14:paraId="4E8584F1" w14:textId="77777777" w:rsidR="00596DA3" w:rsidRPr="00596DA3" w:rsidRDefault="00596DA3" w:rsidP="00596DA3">
      <w:pPr>
        <w:pStyle w:val="ListParagraph"/>
        <w:rPr>
          <w:rFonts w:ascii="Aptos" w:hAnsi="Aptos" w:cs="Times New Roman"/>
          <w:b/>
          <w:bCs/>
        </w:rPr>
      </w:pPr>
    </w:p>
    <w:p w14:paraId="7349DF79" w14:textId="13E75772" w:rsidR="00596DA3" w:rsidRPr="00596DA3" w:rsidRDefault="00596DA3" w:rsidP="00596DA3">
      <w:pPr>
        <w:spacing w:line="360" w:lineRule="auto"/>
        <w:ind w:left="360"/>
        <w:jc w:val="both"/>
        <w:rPr>
          <w:rFonts w:ascii="Aptos" w:hAnsi="Aptos" w:cs="Times New Roman"/>
          <w:b/>
          <w:bCs/>
          <w:sz w:val="32"/>
          <w:szCs w:val="32"/>
        </w:rPr>
      </w:pPr>
      <w:r w:rsidRPr="00596DA3">
        <w:rPr>
          <w:rFonts w:ascii="Aptos" w:hAnsi="Aptos" w:cs="Times New Roman"/>
          <w:b/>
          <w:bCs/>
          <w:sz w:val="32"/>
          <w:szCs w:val="32"/>
        </w:rPr>
        <w:t>Recomendaciones</w:t>
      </w:r>
    </w:p>
    <w:p w14:paraId="740F218F"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lastRenderedPageBreak/>
        <w:t>Actualizar la tabla de destinos económicos conforme a la Resolución 2025060163216. Esto garantizará que todos los destinos contemplados en el modelo LADM-COL versión 4.1, cuenten con una tarifa definida, evitando la pérdida de ingresos fiscales.</w:t>
      </w:r>
    </w:p>
    <w:p w14:paraId="03876DDA" w14:textId="77777777" w:rsidR="00596DA3" w:rsidRPr="00596DA3" w:rsidRDefault="00596DA3" w:rsidP="00596DA3">
      <w:pPr>
        <w:pStyle w:val="ListParagraph"/>
        <w:rPr>
          <w:rFonts w:ascii="Aptos" w:hAnsi="Aptos" w:cs="Times New Roman"/>
        </w:rPr>
      </w:pPr>
    </w:p>
    <w:p w14:paraId="7D8E0441"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w:t>
      </w:r>
    </w:p>
    <w:p w14:paraId="4C463D6E" w14:textId="77777777" w:rsidR="00596DA3" w:rsidRPr="00596DA3" w:rsidRDefault="00596DA3" w:rsidP="00596DA3">
      <w:pPr>
        <w:spacing w:line="240" w:lineRule="auto"/>
        <w:jc w:val="both"/>
        <w:rPr>
          <w:rFonts w:ascii="Aptos" w:hAnsi="Aptos" w:cs="Times New Roman"/>
        </w:rPr>
      </w:pPr>
    </w:p>
    <w:p w14:paraId="3DAF7C8D"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Precisar la operativa del beneficio habitacional estratos 1 y 2 ≤ 3.380 UVT: documentos habilitantes, verificación del estrato, consistencia con el avalúo y vigencia anual.</w:t>
      </w:r>
    </w:p>
    <w:p w14:paraId="104A1407" w14:textId="77777777" w:rsidR="00596DA3" w:rsidRPr="00596DA3" w:rsidRDefault="00596DA3" w:rsidP="00596DA3">
      <w:pPr>
        <w:spacing w:line="240" w:lineRule="auto"/>
        <w:jc w:val="both"/>
        <w:rPr>
          <w:rFonts w:ascii="Aptos" w:hAnsi="Aptos" w:cs="Times New Roman"/>
        </w:rPr>
      </w:pPr>
    </w:p>
    <w:p w14:paraId="04EF0C1D"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Alumbrado público: definir hecho generador, base y tarifa con método de cálculo claro; establecer límites de transición cuando cambien avalúos o tarifas, y separar contablemente su recaudo del IPU con instructivo operativo.</w:t>
      </w:r>
    </w:p>
    <w:p w14:paraId="61B07785" w14:textId="77777777" w:rsidR="00596DA3" w:rsidRPr="00596DA3" w:rsidRDefault="00596DA3" w:rsidP="00596DA3">
      <w:pPr>
        <w:spacing w:line="240" w:lineRule="auto"/>
        <w:jc w:val="both"/>
        <w:rPr>
          <w:rFonts w:ascii="Aptos" w:hAnsi="Aptos" w:cs="Times New Roman"/>
        </w:rPr>
      </w:pPr>
    </w:p>
    <w:p w14:paraId="49E611FE" w14:textId="77777777" w:rsidR="00596DA3" w:rsidRPr="00596DA3" w:rsidRDefault="00596DA3" w:rsidP="00596DA3">
      <w:pPr>
        <w:pStyle w:val="ListParagraph"/>
        <w:widowControl w:val="0"/>
        <w:numPr>
          <w:ilvl w:val="0"/>
          <w:numId w:val="38"/>
        </w:numPr>
        <w:spacing w:after="0" w:line="240" w:lineRule="auto"/>
        <w:contextualSpacing w:val="0"/>
        <w:jc w:val="both"/>
        <w:rPr>
          <w:rFonts w:ascii="Aptos" w:hAnsi="Aptos" w:cs="Times New Roman"/>
        </w:rPr>
      </w:pPr>
      <w:r w:rsidRPr="00596DA3">
        <w:rPr>
          <w:rFonts w:ascii="Aptos" w:hAnsi="Aptos" w:cs="Times New Roman"/>
        </w:rPr>
        <w:t>Sobretasa bomberil: fijar reglas explícitas de interacción con los límites del IPU, para evitar cobros desbordados en la facturación.</w:t>
      </w:r>
    </w:p>
    <w:p w14:paraId="59F5D9C1" w14:textId="77777777" w:rsidR="00707E60" w:rsidRPr="000A5758"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3C3BB" w14:textId="77777777" w:rsidR="00C83B1D" w:rsidRDefault="00C83B1D" w:rsidP="00707E60">
      <w:pPr>
        <w:spacing w:after="0" w:line="240" w:lineRule="auto"/>
      </w:pPr>
      <w:r>
        <w:separator/>
      </w:r>
    </w:p>
  </w:endnote>
  <w:endnote w:type="continuationSeparator" w:id="0">
    <w:p w14:paraId="2ECA619C" w14:textId="77777777" w:rsidR="00C83B1D" w:rsidRDefault="00C83B1D"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6EBD" w14:textId="77777777" w:rsidR="00C83B1D" w:rsidRDefault="00C83B1D" w:rsidP="00707E60">
      <w:pPr>
        <w:spacing w:after="0" w:line="240" w:lineRule="auto"/>
      </w:pPr>
      <w:r>
        <w:separator/>
      </w:r>
    </w:p>
  </w:footnote>
  <w:footnote w:type="continuationSeparator" w:id="0">
    <w:p w14:paraId="341189EF" w14:textId="77777777" w:rsidR="00C83B1D" w:rsidRDefault="00C83B1D"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8411C2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20023A">
                            <w:rPr>
                              <w:color w:val="000000" w:themeColor="text1"/>
                              <w:sz w:val="28"/>
                              <w:szCs w:val="28"/>
                            </w:rPr>
                            <w:t>Puerto Berrio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8411C2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20023A">
                      <w:rPr>
                        <w:color w:val="000000" w:themeColor="text1"/>
                        <w:sz w:val="28"/>
                        <w:szCs w:val="28"/>
                      </w:rPr>
                      <w:t>Puerto Berrio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B8C"/>
    <w:multiLevelType w:val="hybridMultilevel"/>
    <w:tmpl w:val="F3ACD1F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D409DF"/>
    <w:multiLevelType w:val="multilevel"/>
    <w:tmpl w:val="A12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20BBA"/>
    <w:multiLevelType w:val="multilevel"/>
    <w:tmpl w:val="004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F997892"/>
    <w:multiLevelType w:val="multilevel"/>
    <w:tmpl w:val="828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2C6DE2"/>
    <w:multiLevelType w:val="multilevel"/>
    <w:tmpl w:val="6BF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1F507A"/>
    <w:multiLevelType w:val="multilevel"/>
    <w:tmpl w:val="579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11"/>
  </w:num>
  <w:num w:numId="2" w16cid:durableId="1017347282">
    <w:abstractNumId w:val="17"/>
  </w:num>
  <w:num w:numId="3" w16cid:durableId="44450645">
    <w:abstractNumId w:val="28"/>
  </w:num>
  <w:num w:numId="4" w16cid:durableId="1953855267">
    <w:abstractNumId w:val="1"/>
  </w:num>
  <w:num w:numId="5" w16cid:durableId="279457733">
    <w:abstractNumId w:val="13"/>
  </w:num>
  <w:num w:numId="6" w16cid:durableId="829055416">
    <w:abstractNumId w:val="2"/>
  </w:num>
  <w:num w:numId="7" w16cid:durableId="1974747392">
    <w:abstractNumId w:val="9"/>
  </w:num>
  <w:num w:numId="8" w16cid:durableId="1342120387">
    <w:abstractNumId w:val="23"/>
  </w:num>
  <w:num w:numId="9" w16cid:durableId="350257001">
    <w:abstractNumId w:val="8"/>
  </w:num>
  <w:num w:numId="10" w16cid:durableId="1078140204">
    <w:abstractNumId w:val="14"/>
  </w:num>
  <w:num w:numId="11" w16cid:durableId="1792938771">
    <w:abstractNumId w:val="15"/>
  </w:num>
  <w:num w:numId="12" w16cid:durableId="1526560268">
    <w:abstractNumId w:val="32"/>
  </w:num>
  <w:num w:numId="13" w16cid:durableId="684139451">
    <w:abstractNumId w:val="34"/>
  </w:num>
  <w:num w:numId="14" w16cid:durableId="2066485375">
    <w:abstractNumId w:val="35"/>
  </w:num>
  <w:num w:numId="15" w16cid:durableId="1048799774">
    <w:abstractNumId w:val="6"/>
  </w:num>
  <w:num w:numId="16" w16cid:durableId="763765178">
    <w:abstractNumId w:val="19"/>
  </w:num>
  <w:num w:numId="17" w16cid:durableId="312298011">
    <w:abstractNumId w:val="27"/>
  </w:num>
  <w:num w:numId="18" w16cid:durableId="1720469911">
    <w:abstractNumId w:val="20"/>
  </w:num>
  <w:num w:numId="19" w16cid:durableId="435371494">
    <w:abstractNumId w:val="25"/>
  </w:num>
  <w:num w:numId="20" w16cid:durableId="295719448">
    <w:abstractNumId w:val="26"/>
  </w:num>
  <w:num w:numId="21" w16cid:durableId="1577745992">
    <w:abstractNumId w:val="16"/>
  </w:num>
  <w:num w:numId="22" w16cid:durableId="1267925568">
    <w:abstractNumId w:val="30"/>
  </w:num>
  <w:num w:numId="23" w16cid:durableId="1861967186">
    <w:abstractNumId w:val="10"/>
  </w:num>
  <w:num w:numId="24" w16cid:durableId="601374337">
    <w:abstractNumId w:val="31"/>
  </w:num>
  <w:num w:numId="25" w16cid:durableId="1162700760">
    <w:abstractNumId w:val="33"/>
  </w:num>
  <w:num w:numId="26" w16cid:durableId="581332385">
    <w:abstractNumId w:val="18"/>
  </w:num>
  <w:num w:numId="27" w16cid:durableId="423887808">
    <w:abstractNumId w:val="29"/>
  </w:num>
  <w:num w:numId="28" w16cid:durableId="1186863597">
    <w:abstractNumId w:val="37"/>
  </w:num>
  <w:num w:numId="29" w16cid:durableId="340359362">
    <w:abstractNumId w:val="3"/>
  </w:num>
  <w:num w:numId="30" w16cid:durableId="1619264905">
    <w:abstractNumId w:val="4"/>
  </w:num>
  <w:num w:numId="31" w16cid:durableId="97989699">
    <w:abstractNumId w:val="12"/>
  </w:num>
  <w:num w:numId="32" w16cid:durableId="55206863">
    <w:abstractNumId w:val="21"/>
  </w:num>
  <w:num w:numId="33" w16cid:durableId="2040545959">
    <w:abstractNumId w:val="24"/>
  </w:num>
  <w:num w:numId="34" w16cid:durableId="437526546">
    <w:abstractNumId w:val="22"/>
  </w:num>
  <w:num w:numId="35" w16cid:durableId="1634217144">
    <w:abstractNumId w:val="5"/>
  </w:num>
  <w:num w:numId="36" w16cid:durableId="1333920831">
    <w:abstractNumId w:val="36"/>
  </w:num>
  <w:num w:numId="37" w16cid:durableId="195700225">
    <w:abstractNumId w:val="7"/>
  </w:num>
  <w:num w:numId="38" w16cid:durableId="140845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0A5758"/>
    <w:rsid w:val="000C571B"/>
    <w:rsid w:val="00120797"/>
    <w:rsid w:val="00134527"/>
    <w:rsid w:val="001665FB"/>
    <w:rsid w:val="001C6F8E"/>
    <w:rsid w:val="0020023A"/>
    <w:rsid w:val="00211E44"/>
    <w:rsid w:val="00231736"/>
    <w:rsid w:val="0023618C"/>
    <w:rsid w:val="0031580C"/>
    <w:rsid w:val="0034535B"/>
    <w:rsid w:val="003650D0"/>
    <w:rsid w:val="003A7CEA"/>
    <w:rsid w:val="003E2241"/>
    <w:rsid w:val="003E2F94"/>
    <w:rsid w:val="004107CA"/>
    <w:rsid w:val="004E36A0"/>
    <w:rsid w:val="005422DF"/>
    <w:rsid w:val="00544342"/>
    <w:rsid w:val="00596DA3"/>
    <w:rsid w:val="005C3FCA"/>
    <w:rsid w:val="005D08ED"/>
    <w:rsid w:val="005F7A75"/>
    <w:rsid w:val="00605B4C"/>
    <w:rsid w:val="006348C8"/>
    <w:rsid w:val="00665846"/>
    <w:rsid w:val="006A249B"/>
    <w:rsid w:val="006A428E"/>
    <w:rsid w:val="006D6F1E"/>
    <w:rsid w:val="006E68D4"/>
    <w:rsid w:val="00701CC9"/>
    <w:rsid w:val="00707E60"/>
    <w:rsid w:val="00723620"/>
    <w:rsid w:val="00740366"/>
    <w:rsid w:val="0075330F"/>
    <w:rsid w:val="007C2E1E"/>
    <w:rsid w:val="007D1D7D"/>
    <w:rsid w:val="00813F67"/>
    <w:rsid w:val="00844CC8"/>
    <w:rsid w:val="00845F02"/>
    <w:rsid w:val="00855468"/>
    <w:rsid w:val="00933720"/>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509C"/>
    <w:rsid w:val="00C83B1D"/>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24</cp:revision>
  <dcterms:created xsi:type="dcterms:W3CDTF">2025-10-23T17:12:00Z</dcterms:created>
  <dcterms:modified xsi:type="dcterms:W3CDTF">2025-10-30T14:38:00Z</dcterms:modified>
</cp:coreProperties>
</file>