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357CE5D3"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E20762">
        <w:rPr>
          <w:color w:val="000000" w:themeColor="text1"/>
          <w:sz w:val="44"/>
          <w:szCs w:val="44"/>
        </w:rPr>
        <w:t>Puerto Triunfo</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55E8C64E" w14:textId="77777777" w:rsidR="00E20762" w:rsidRPr="00E20762" w:rsidRDefault="00E20762" w:rsidP="00E20762">
      <w:pPr>
        <w:spacing w:line="360" w:lineRule="auto"/>
        <w:jc w:val="both"/>
        <w:rPr>
          <w:rFonts w:ascii="Aptos" w:hAnsi="Aptos" w:cs="Times New Roman"/>
        </w:rPr>
      </w:pPr>
      <w:r w:rsidRPr="00E20762">
        <w:rPr>
          <w:rFonts w:ascii="Aptos" w:hAnsi="Aptos" w:cs="Times New Roman"/>
        </w:rPr>
        <w:lastRenderedPageBreak/>
        <w:t>El estado actual de su normatividad tributaria se establece en el acuerdo: 13 de 2019</w:t>
      </w:r>
    </w:p>
    <w:p w14:paraId="5E0C8536" w14:textId="77777777" w:rsidR="00E20762" w:rsidRPr="00E20762" w:rsidRDefault="00E20762" w:rsidP="00E20762">
      <w:pPr>
        <w:spacing w:line="360" w:lineRule="auto"/>
        <w:jc w:val="both"/>
        <w:rPr>
          <w:rFonts w:ascii="Aptos" w:hAnsi="Aptos" w:cs="Times New Roman"/>
          <w:b/>
          <w:bCs/>
          <w:sz w:val="32"/>
          <w:szCs w:val="32"/>
        </w:rPr>
      </w:pPr>
      <w:r w:rsidRPr="00E20762">
        <w:rPr>
          <w:rFonts w:ascii="Aptos" w:hAnsi="Aptos" w:cs="Times New Roman"/>
          <w:b/>
          <w:bCs/>
          <w:sz w:val="32"/>
          <w:szCs w:val="32"/>
        </w:rPr>
        <w:t>Hallazgos</w:t>
      </w:r>
    </w:p>
    <w:p w14:paraId="215F5185" w14:textId="77777777" w:rsidR="00E20762" w:rsidRPr="00E20762" w:rsidRDefault="00E20762" w:rsidP="00E20762">
      <w:pPr>
        <w:numPr>
          <w:ilvl w:val="0"/>
          <w:numId w:val="19"/>
        </w:numPr>
        <w:spacing w:line="360" w:lineRule="auto"/>
        <w:jc w:val="both"/>
        <w:rPr>
          <w:rFonts w:ascii="Aptos" w:hAnsi="Aptos" w:cs="Times New Roman"/>
        </w:rPr>
      </w:pPr>
      <w:r w:rsidRPr="00E20762">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60C71A2E" w14:textId="77777777" w:rsidR="00E20762" w:rsidRPr="00E20762" w:rsidRDefault="00E20762" w:rsidP="00E20762">
      <w:pPr>
        <w:numPr>
          <w:ilvl w:val="0"/>
          <w:numId w:val="19"/>
        </w:numPr>
        <w:spacing w:line="360" w:lineRule="auto"/>
        <w:jc w:val="both"/>
        <w:rPr>
          <w:rFonts w:ascii="Aptos" w:hAnsi="Aptos" w:cs="Times New Roman"/>
        </w:rPr>
      </w:pPr>
      <w:r w:rsidRPr="00E20762">
        <w:rPr>
          <w:rFonts w:ascii="Aptos" w:hAnsi="Aptos" w:cs="Times New Roman"/>
        </w:rPr>
        <w:t>Desactualización normativa: el estatuto se soporta en la Resolución 70 de 2011, que debe actualizarse a la Resolución 1040 de 2023; además, las tarifas por destinos no están alineadas con la metodología de la Gerencia de Catastro.</w:t>
      </w:r>
    </w:p>
    <w:p w14:paraId="51443FC2" w14:textId="77777777" w:rsidR="00E20762" w:rsidRPr="00E20762" w:rsidRDefault="00E20762" w:rsidP="00E20762">
      <w:pPr>
        <w:numPr>
          <w:ilvl w:val="0"/>
          <w:numId w:val="19"/>
        </w:numPr>
        <w:spacing w:line="360" w:lineRule="auto"/>
        <w:jc w:val="both"/>
        <w:rPr>
          <w:rFonts w:ascii="Aptos" w:hAnsi="Aptos" w:cs="Times New Roman"/>
        </w:rPr>
      </w:pPr>
      <w:r w:rsidRPr="00E20762">
        <w:rPr>
          <w:rFonts w:ascii="Aptos" w:hAnsi="Aptos" w:cs="Times New Roman"/>
        </w:rPr>
        <w:t>Estructura tarifaria: mínimo 7‰, máximo 14‰; 30‰ para lotes urbanizados no construidos.</w:t>
      </w:r>
    </w:p>
    <w:p w14:paraId="424EE8A4" w14:textId="77777777" w:rsidR="00E20762" w:rsidRPr="00E20762" w:rsidRDefault="00E20762" w:rsidP="00E20762">
      <w:pPr>
        <w:numPr>
          <w:ilvl w:val="0"/>
          <w:numId w:val="19"/>
        </w:numPr>
        <w:spacing w:line="360" w:lineRule="auto"/>
        <w:jc w:val="both"/>
        <w:rPr>
          <w:rFonts w:ascii="Aptos" w:hAnsi="Aptos" w:cs="Times New Roman"/>
        </w:rPr>
      </w:pPr>
      <w:r w:rsidRPr="00E20762">
        <w:rPr>
          <w:rFonts w:ascii="Aptos" w:hAnsi="Aptos" w:cs="Times New Roman"/>
        </w:rPr>
        <w:t>Determinación y cobro: adopción de la factura como título; dos cuotas semestrales.</w:t>
      </w:r>
    </w:p>
    <w:p w14:paraId="683FBC62" w14:textId="77777777" w:rsidR="00E20762" w:rsidRPr="00E20762" w:rsidRDefault="00E20762" w:rsidP="00E20762">
      <w:pPr>
        <w:numPr>
          <w:ilvl w:val="0"/>
          <w:numId w:val="19"/>
        </w:numPr>
        <w:spacing w:line="360" w:lineRule="auto"/>
        <w:jc w:val="both"/>
        <w:rPr>
          <w:rFonts w:ascii="Aptos" w:hAnsi="Aptos" w:cs="Times New Roman"/>
        </w:rPr>
      </w:pPr>
      <w:r w:rsidRPr="00E20762">
        <w:rPr>
          <w:rFonts w:ascii="Aptos" w:hAnsi="Aptos" w:cs="Times New Roman"/>
        </w:rPr>
        <w:t>Gravamen prohibido y exenciones: prohibición para iglesias; exenciones para JAC y hogares infantiles (según requisitos).</w:t>
      </w:r>
    </w:p>
    <w:p w14:paraId="702AEF83" w14:textId="77777777" w:rsidR="00E20762" w:rsidRPr="00E20762" w:rsidRDefault="00E20762" w:rsidP="00E20762">
      <w:pPr>
        <w:numPr>
          <w:ilvl w:val="0"/>
          <w:numId w:val="19"/>
        </w:numPr>
        <w:spacing w:line="360" w:lineRule="auto"/>
        <w:jc w:val="both"/>
        <w:rPr>
          <w:rFonts w:ascii="Aptos" w:hAnsi="Aptos" w:cs="Times New Roman"/>
        </w:rPr>
      </w:pPr>
      <w:r w:rsidRPr="00E20762">
        <w:rPr>
          <w:rFonts w:ascii="Aptos" w:hAnsi="Aptos" w:cs="Times New Roman"/>
        </w:rPr>
        <w:t>Sobretasa ambiental: 1,5‰ (destinación a la CAR).</w:t>
      </w:r>
    </w:p>
    <w:p w14:paraId="3A3374B8" w14:textId="77777777" w:rsidR="00E20762" w:rsidRPr="00E20762" w:rsidRDefault="00E20762" w:rsidP="00E20762">
      <w:pPr>
        <w:numPr>
          <w:ilvl w:val="0"/>
          <w:numId w:val="19"/>
        </w:numPr>
        <w:spacing w:line="360" w:lineRule="auto"/>
        <w:jc w:val="both"/>
        <w:rPr>
          <w:rFonts w:ascii="Aptos" w:hAnsi="Aptos" w:cs="Times New Roman"/>
        </w:rPr>
      </w:pPr>
      <w:r w:rsidRPr="00E20762">
        <w:rPr>
          <w:rFonts w:ascii="Aptos" w:hAnsi="Aptos" w:cs="Times New Roman"/>
        </w:rPr>
        <w:t>Alumbrado público: no se establece como 1‰ sobre avalúo; falta precisión normativa sobre su configuración.</w:t>
      </w:r>
    </w:p>
    <w:p w14:paraId="6311818C" w14:textId="77777777" w:rsidR="00E20762" w:rsidRPr="00E20762" w:rsidRDefault="00E20762" w:rsidP="00E20762">
      <w:pPr>
        <w:numPr>
          <w:ilvl w:val="0"/>
          <w:numId w:val="19"/>
        </w:numPr>
        <w:spacing w:line="360" w:lineRule="auto"/>
        <w:jc w:val="both"/>
        <w:rPr>
          <w:rFonts w:ascii="Aptos" w:hAnsi="Aptos" w:cs="Times New Roman"/>
        </w:rPr>
      </w:pPr>
      <w:r w:rsidRPr="00E20762">
        <w:rPr>
          <w:rFonts w:ascii="Aptos" w:hAnsi="Aptos" w:cs="Times New Roman"/>
        </w:rPr>
        <w:t>Sobretasa bomberil: grava el IPU.</w:t>
      </w:r>
    </w:p>
    <w:p w14:paraId="31A3B55F" w14:textId="77777777" w:rsidR="00E20762" w:rsidRPr="00E20762" w:rsidRDefault="00E20762" w:rsidP="00E20762">
      <w:pPr>
        <w:pStyle w:val="ListParagraph"/>
        <w:widowControl w:val="0"/>
        <w:numPr>
          <w:ilvl w:val="0"/>
          <w:numId w:val="19"/>
        </w:numPr>
        <w:spacing w:after="0" w:line="240" w:lineRule="auto"/>
        <w:contextualSpacing w:val="0"/>
        <w:jc w:val="both"/>
        <w:rPr>
          <w:rFonts w:ascii="Aptos" w:hAnsi="Aptos" w:cs="Times New Roman"/>
        </w:rPr>
      </w:pPr>
      <w:r w:rsidRPr="00E20762">
        <w:rPr>
          <w:rFonts w:ascii="Aptos" w:hAnsi="Aptos" w:cs="Times New Roman"/>
        </w:rPr>
        <w:t>El ET no incorpora tratamientos diferenciados o beneficios por condiciones ambientales</w:t>
      </w:r>
    </w:p>
    <w:p w14:paraId="7071CB5C" w14:textId="77777777" w:rsidR="00E20762" w:rsidRPr="00E20762" w:rsidRDefault="00E20762" w:rsidP="00E20762">
      <w:pPr>
        <w:spacing w:line="360" w:lineRule="auto"/>
        <w:ind w:left="720"/>
        <w:jc w:val="both"/>
        <w:rPr>
          <w:rFonts w:ascii="Aptos" w:hAnsi="Aptos" w:cs="Times New Roman"/>
        </w:rPr>
      </w:pPr>
    </w:p>
    <w:p w14:paraId="58937E0F" w14:textId="77777777" w:rsidR="00E20762" w:rsidRPr="00E20762" w:rsidRDefault="00E20762" w:rsidP="00E20762">
      <w:pPr>
        <w:spacing w:line="360" w:lineRule="auto"/>
        <w:jc w:val="both"/>
        <w:rPr>
          <w:rFonts w:ascii="Aptos" w:hAnsi="Aptos" w:cs="Times New Roman"/>
          <w:b/>
          <w:bCs/>
          <w:sz w:val="32"/>
          <w:szCs w:val="32"/>
        </w:rPr>
      </w:pPr>
      <w:r w:rsidRPr="00E20762">
        <w:rPr>
          <w:rFonts w:ascii="Aptos" w:hAnsi="Aptos" w:cs="Times New Roman"/>
          <w:b/>
          <w:bCs/>
          <w:sz w:val="32"/>
          <w:szCs w:val="32"/>
        </w:rPr>
        <w:t>Recomendaciones</w:t>
      </w:r>
    </w:p>
    <w:p w14:paraId="2D57E609" w14:textId="77777777" w:rsidR="00E20762" w:rsidRPr="00E20762" w:rsidRDefault="00E20762" w:rsidP="00E20762">
      <w:pPr>
        <w:numPr>
          <w:ilvl w:val="0"/>
          <w:numId w:val="20"/>
        </w:numPr>
        <w:spacing w:line="360" w:lineRule="auto"/>
        <w:jc w:val="both"/>
        <w:rPr>
          <w:rFonts w:ascii="Aptos" w:hAnsi="Aptos" w:cs="Times New Roman"/>
        </w:rPr>
      </w:pPr>
      <w:r w:rsidRPr="00E20762">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w:t>
      </w:r>
      <w:r w:rsidRPr="00E20762">
        <w:rPr>
          <w:rFonts w:ascii="Aptos" w:hAnsi="Aptos" w:cs="Times New Roman"/>
        </w:rPr>
        <w:lastRenderedPageBreak/>
        <w:t>tabla de destinos económicos conforme a la Resolución 2025060163216. Esto garantizará que todos los destinos contemplados en el modelo LADM-COL versión 4.1, cuenten con una tarifa definida, evitando la pérdida de ingresos fiscales.”</w:t>
      </w:r>
    </w:p>
    <w:p w14:paraId="20209FEB" w14:textId="77777777" w:rsidR="00E20762" w:rsidRPr="00E20762" w:rsidRDefault="00E20762" w:rsidP="00E20762">
      <w:pPr>
        <w:numPr>
          <w:ilvl w:val="0"/>
          <w:numId w:val="20"/>
        </w:numPr>
        <w:spacing w:line="360" w:lineRule="auto"/>
        <w:jc w:val="both"/>
        <w:rPr>
          <w:rFonts w:ascii="Aptos" w:hAnsi="Aptos" w:cs="Times New Roman"/>
        </w:rPr>
      </w:pPr>
      <w:r w:rsidRPr="00E20762">
        <w:rPr>
          <w:rFonts w:ascii="Aptos" w:hAnsi="Aptos" w:cs="Times New Roman"/>
        </w:rPr>
        <w:t>Actualizar la base normativa (derogar remisiones a Res. 70 de 2011) y alinear la matriz tarifaria a la metodología de destinos definida por la Gerencia de Catastro, asegurando coherencia técnica.</w:t>
      </w:r>
    </w:p>
    <w:p w14:paraId="1EA3BA23" w14:textId="77777777" w:rsidR="00E20762" w:rsidRPr="00E20762" w:rsidRDefault="00E20762" w:rsidP="00E20762">
      <w:pPr>
        <w:numPr>
          <w:ilvl w:val="0"/>
          <w:numId w:val="20"/>
        </w:numPr>
        <w:spacing w:line="360" w:lineRule="auto"/>
        <w:jc w:val="both"/>
        <w:rPr>
          <w:rFonts w:ascii="Aptos" w:hAnsi="Aptos" w:cs="Times New Roman"/>
        </w:rPr>
      </w:pPr>
      <w:r w:rsidRPr="00E20762">
        <w:rPr>
          <w:rFonts w:ascii="Aptos" w:hAnsi="Aptos" w:cs="Times New Roman"/>
        </w:rPr>
        <w:t>Clarificar el régimen de alumbrado público: definir expresamente si grava avalúo o IPU, su base gravable, tarifa y procedimiento, para evitar ambigüedades en cálculo y cobro.</w:t>
      </w:r>
    </w:p>
    <w:p w14:paraId="0A289A4C" w14:textId="77777777" w:rsidR="00E20762" w:rsidRPr="00E20762" w:rsidRDefault="00E20762" w:rsidP="00E20762">
      <w:pPr>
        <w:numPr>
          <w:ilvl w:val="0"/>
          <w:numId w:val="20"/>
        </w:numPr>
        <w:spacing w:line="360" w:lineRule="auto"/>
        <w:jc w:val="both"/>
        <w:rPr>
          <w:rFonts w:ascii="Aptos" w:hAnsi="Aptos" w:cs="Times New Roman"/>
        </w:rPr>
      </w:pPr>
      <w:r w:rsidRPr="00E20762">
        <w:rPr>
          <w:rFonts w:ascii="Aptos" w:hAnsi="Aptos" w:cs="Times New Roman"/>
        </w:rPr>
        <w:t>Evaluar el impacto fiscal de exenciones/beneficios (JAC, hogares infantiles), con seguimiento periódico de su costo fiscal y criterios de acceso/permanencia.</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9CB89" w14:textId="77777777" w:rsidR="006348C8" w:rsidRDefault="006348C8" w:rsidP="00707E60">
      <w:pPr>
        <w:spacing w:after="0" w:line="240" w:lineRule="auto"/>
      </w:pPr>
      <w:r>
        <w:separator/>
      </w:r>
    </w:p>
  </w:endnote>
  <w:endnote w:type="continuationSeparator" w:id="0">
    <w:p w14:paraId="399035B9" w14:textId="77777777" w:rsidR="006348C8" w:rsidRDefault="006348C8"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A7CBE" w14:textId="77777777" w:rsidR="006348C8" w:rsidRDefault="006348C8" w:rsidP="00707E60">
      <w:pPr>
        <w:spacing w:after="0" w:line="240" w:lineRule="auto"/>
      </w:pPr>
      <w:r>
        <w:separator/>
      </w:r>
    </w:p>
  </w:footnote>
  <w:footnote w:type="continuationSeparator" w:id="0">
    <w:p w14:paraId="2CF42AD7" w14:textId="77777777" w:rsidR="006348C8" w:rsidRDefault="006348C8"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0F52FCC"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E20762">
                            <w:rPr>
                              <w:color w:val="000000" w:themeColor="text1"/>
                              <w:sz w:val="28"/>
                              <w:szCs w:val="28"/>
                            </w:rPr>
                            <w:t>Puerto Triunfo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0F52FCC"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E20762">
                      <w:rPr>
                        <w:color w:val="000000" w:themeColor="text1"/>
                        <w:sz w:val="28"/>
                        <w:szCs w:val="28"/>
                      </w:rPr>
                      <w:t>Puerto Triunfo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5"/>
  </w:num>
  <w:num w:numId="2" w16cid:durableId="1017347282">
    <w:abstractNumId w:val="9"/>
  </w:num>
  <w:num w:numId="3" w16cid:durableId="44450645">
    <w:abstractNumId w:val="16"/>
  </w:num>
  <w:num w:numId="4" w16cid:durableId="1953855267">
    <w:abstractNumId w:val="0"/>
  </w:num>
  <w:num w:numId="5" w16cid:durableId="279457733">
    <w:abstractNumId w:val="6"/>
  </w:num>
  <w:num w:numId="6" w16cid:durableId="829055416">
    <w:abstractNumId w:val="1"/>
  </w:num>
  <w:num w:numId="7" w16cid:durableId="1974747392">
    <w:abstractNumId w:val="4"/>
  </w:num>
  <w:num w:numId="8" w16cid:durableId="1342120387">
    <w:abstractNumId w:val="12"/>
  </w:num>
  <w:num w:numId="9" w16cid:durableId="350257001">
    <w:abstractNumId w:val="3"/>
  </w:num>
  <w:num w:numId="10" w16cid:durableId="1078140204">
    <w:abstractNumId w:val="7"/>
  </w:num>
  <w:num w:numId="11" w16cid:durableId="1792938771">
    <w:abstractNumId w:val="8"/>
  </w:num>
  <w:num w:numId="12" w16cid:durableId="1526560268">
    <w:abstractNumId w:val="17"/>
  </w:num>
  <w:num w:numId="13" w16cid:durableId="684139451">
    <w:abstractNumId w:val="18"/>
  </w:num>
  <w:num w:numId="14" w16cid:durableId="2066485375">
    <w:abstractNumId w:val="19"/>
  </w:num>
  <w:num w:numId="15" w16cid:durableId="1048799774">
    <w:abstractNumId w:val="2"/>
  </w:num>
  <w:num w:numId="16" w16cid:durableId="763765178">
    <w:abstractNumId w:val="10"/>
  </w:num>
  <w:num w:numId="17" w16cid:durableId="312298011">
    <w:abstractNumId w:val="15"/>
  </w:num>
  <w:num w:numId="18" w16cid:durableId="1720469911">
    <w:abstractNumId w:val="11"/>
  </w:num>
  <w:num w:numId="19" w16cid:durableId="435371494">
    <w:abstractNumId w:val="13"/>
  </w:num>
  <w:num w:numId="20" w16cid:durableId="2957194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3E2F94"/>
    <w:rsid w:val="004107CA"/>
    <w:rsid w:val="005422DF"/>
    <w:rsid w:val="005C3FCA"/>
    <w:rsid w:val="005D08ED"/>
    <w:rsid w:val="005F7A75"/>
    <w:rsid w:val="00605B4C"/>
    <w:rsid w:val="006348C8"/>
    <w:rsid w:val="00665846"/>
    <w:rsid w:val="006A249B"/>
    <w:rsid w:val="006A428E"/>
    <w:rsid w:val="00701CC9"/>
    <w:rsid w:val="00707E60"/>
    <w:rsid w:val="00723620"/>
    <w:rsid w:val="00813F67"/>
    <w:rsid w:val="00844CC8"/>
    <w:rsid w:val="00845F02"/>
    <w:rsid w:val="00855468"/>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12</cp:revision>
  <dcterms:created xsi:type="dcterms:W3CDTF">2025-10-23T17:12:00Z</dcterms:created>
  <dcterms:modified xsi:type="dcterms:W3CDTF">2025-10-24T17:53:00Z</dcterms:modified>
</cp:coreProperties>
</file>