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90D810E"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B9597A">
        <w:rPr>
          <w:color w:val="000000" w:themeColor="text1"/>
          <w:sz w:val="44"/>
          <w:szCs w:val="44"/>
        </w:rPr>
        <w:t>San Andrés de Cuerquía</w:t>
      </w:r>
      <w:r w:rsidR="00BE3801">
        <w:rPr>
          <w:color w:val="000000" w:themeColor="text1"/>
          <w:sz w:val="44"/>
          <w:szCs w:val="44"/>
        </w:rPr>
        <w:t xml:space="preserve"> </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E02107D" w14:textId="77777777" w:rsidR="00B9597A" w:rsidRPr="00B9597A" w:rsidRDefault="00B9597A" w:rsidP="00B9597A">
      <w:pPr>
        <w:spacing w:line="360" w:lineRule="auto"/>
        <w:jc w:val="both"/>
        <w:rPr>
          <w:rFonts w:ascii="Aptos" w:hAnsi="Aptos" w:cs="Times New Roman"/>
          <w:b/>
          <w:bCs/>
        </w:rPr>
      </w:pPr>
      <w:r w:rsidRPr="00B9597A">
        <w:rPr>
          <w:rFonts w:ascii="Aptos" w:hAnsi="Aptos" w:cs="Times New Roman"/>
        </w:rPr>
        <w:lastRenderedPageBreak/>
        <w:t>El estado actual de su normatividad tributaria se establece en el acuerdo: 016 DE 2021.</w:t>
      </w:r>
    </w:p>
    <w:p w14:paraId="203F61F4" w14:textId="77777777" w:rsidR="00B9597A" w:rsidRPr="00B9597A" w:rsidRDefault="00B9597A" w:rsidP="00B9597A">
      <w:pPr>
        <w:jc w:val="both"/>
        <w:rPr>
          <w:rFonts w:ascii="Aptos" w:hAnsi="Aptos" w:cs="Times New Roman"/>
          <w:b/>
          <w:bCs/>
          <w:sz w:val="32"/>
          <w:szCs w:val="32"/>
        </w:rPr>
      </w:pPr>
      <w:r w:rsidRPr="00B9597A">
        <w:rPr>
          <w:rFonts w:ascii="Aptos" w:hAnsi="Aptos" w:cs="Times New Roman"/>
          <w:b/>
          <w:bCs/>
          <w:sz w:val="32"/>
          <w:szCs w:val="32"/>
        </w:rPr>
        <w:t>Hallazgos</w:t>
      </w:r>
    </w:p>
    <w:p w14:paraId="3A9D9F9D"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San Andrés de Cuerquía se utiliza LADM-COL versión 1 (obsoleto), lo que profundiza el desfase.</w:t>
      </w:r>
    </w:p>
    <w:p w14:paraId="4C0118EF"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Notificación de la factura: se intenta notificar por correo electrónico, pese a que la notificación de la determinación oficial tiene forma especial prevista por ley (página web y cartelera), con riesgo de nulidad del cobro.</w:t>
      </w:r>
    </w:p>
    <w:p w14:paraId="61266CED"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Beneficios ambientales (descuento 50 % para conservación de especies nativas y para cultivos, bosques y fuentes hídricas): no se precisa si son acumulables ni si existen topes, con posible afectación del recaudo.</w:t>
      </w:r>
    </w:p>
    <w:p w14:paraId="1A2DB3B7"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Liquidación por rangos de avalúo con tarifas 5‰–16‰ y tarifa especial 2‰ para zonas de altura.</w:t>
      </w:r>
    </w:p>
    <w:p w14:paraId="6654315F"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Determinación y facturación: factura como título de cobro, trimestral, con pronto pago 10 % en el primer trimestre.</w:t>
      </w:r>
    </w:p>
    <w:p w14:paraId="46F6E4B3"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Sobretasa ambiental: 1,5‰ sobre avalúo catastral. Sobretasa bomberil: 2 % del recaudo del IPU.</w:t>
      </w:r>
    </w:p>
    <w:p w14:paraId="08B0830B" w14:textId="77777777" w:rsidR="00B9597A" w:rsidRPr="00B9597A" w:rsidRDefault="00B9597A" w:rsidP="00B9597A">
      <w:pPr>
        <w:numPr>
          <w:ilvl w:val="0"/>
          <w:numId w:val="11"/>
        </w:numPr>
        <w:jc w:val="both"/>
        <w:rPr>
          <w:rFonts w:ascii="Aptos" w:hAnsi="Aptos" w:cs="Times New Roman"/>
        </w:rPr>
      </w:pPr>
      <w:r w:rsidRPr="00B9597A">
        <w:rPr>
          <w:rFonts w:ascii="Aptos" w:hAnsi="Aptos" w:cs="Times New Roman"/>
        </w:rPr>
        <w:t>Gravamen prohibido y exenciones: iglesias, parques naturales, bomberos, JAC y predios públicos.</w:t>
      </w:r>
    </w:p>
    <w:p w14:paraId="769FF291" w14:textId="77777777" w:rsidR="00B9597A" w:rsidRPr="00B9597A" w:rsidRDefault="00B9597A" w:rsidP="00B9597A">
      <w:pPr>
        <w:pStyle w:val="ListParagraph"/>
        <w:widowControl w:val="0"/>
        <w:numPr>
          <w:ilvl w:val="0"/>
          <w:numId w:val="11"/>
        </w:numPr>
        <w:spacing w:after="0" w:line="240" w:lineRule="auto"/>
        <w:contextualSpacing w:val="0"/>
        <w:jc w:val="both"/>
        <w:rPr>
          <w:rFonts w:ascii="Aptos" w:hAnsi="Aptos" w:cs="Times New Roman"/>
        </w:rPr>
      </w:pPr>
      <w:r w:rsidRPr="00B9597A">
        <w:rPr>
          <w:rFonts w:ascii="Aptos" w:hAnsi="Aptos" w:cs="Times New Roman"/>
        </w:rPr>
        <w:t>El ET no incorpora tratamientos diferenciados o beneficios por condiciones ambientales</w:t>
      </w:r>
    </w:p>
    <w:p w14:paraId="7129A001" w14:textId="77777777" w:rsidR="00B9597A" w:rsidRPr="00B9597A" w:rsidRDefault="00B9597A" w:rsidP="00B9597A">
      <w:pPr>
        <w:ind w:left="720"/>
        <w:jc w:val="both"/>
        <w:rPr>
          <w:rFonts w:ascii="Aptos" w:hAnsi="Aptos" w:cs="Times New Roman"/>
        </w:rPr>
      </w:pPr>
    </w:p>
    <w:p w14:paraId="64EC45D0" w14:textId="77777777" w:rsidR="00B9597A" w:rsidRPr="00B9597A" w:rsidRDefault="00B9597A" w:rsidP="00B9597A">
      <w:pPr>
        <w:jc w:val="both"/>
        <w:rPr>
          <w:rFonts w:ascii="Aptos" w:hAnsi="Aptos" w:cs="Times New Roman"/>
          <w:b/>
          <w:bCs/>
          <w:sz w:val="32"/>
          <w:szCs w:val="32"/>
        </w:rPr>
      </w:pPr>
      <w:r w:rsidRPr="00B9597A">
        <w:rPr>
          <w:rFonts w:ascii="Aptos" w:hAnsi="Aptos" w:cs="Times New Roman"/>
          <w:b/>
          <w:bCs/>
          <w:sz w:val="32"/>
          <w:szCs w:val="32"/>
        </w:rPr>
        <w:t>Recomendaciones</w:t>
      </w:r>
    </w:p>
    <w:p w14:paraId="573F3BB7" w14:textId="77777777" w:rsidR="00B9597A" w:rsidRPr="00B9597A" w:rsidRDefault="00B9597A" w:rsidP="00B9597A">
      <w:pPr>
        <w:numPr>
          <w:ilvl w:val="0"/>
          <w:numId w:val="12"/>
        </w:numPr>
        <w:jc w:val="both"/>
        <w:rPr>
          <w:rFonts w:ascii="Aptos" w:hAnsi="Aptos" w:cs="Times New Roman"/>
        </w:rPr>
      </w:pPr>
      <w:r w:rsidRPr="00B9597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FE2BEB0" w14:textId="77777777" w:rsidR="00B9597A" w:rsidRPr="00B9597A" w:rsidRDefault="00B9597A" w:rsidP="00B9597A">
      <w:pPr>
        <w:numPr>
          <w:ilvl w:val="0"/>
          <w:numId w:val="12"/>
        </w:numPr>
        <w:jc w:val="both"/>
        <w:rPr>
          <w:rFonts w:ascii="Aptos" w:hAnsi="Aptos" w:cs="Times New Roman"/>
        </w:rPr>
      </w:pPr>
      <w:r w:rsidRPr="00B9597A">
        <w:rPr>
          <w:rFonts w:ascii="Aptos" w:hAnsi="Aptos" w:cs="Times New Roman"/>
        </w:rPr>
        <w:t>Ajustar el procedimiento de notificación de la determinación oficial a las formas especiales previstas por ley (página web y cartelera), garantizando validez y exigibilidad.</w:t>
      </w:r>
    </w:p>
    <w:p w14:paraId="28BA2C4C" w14:textId="77777777" w:rsidR="00B9597A" w:rsidRPr="00B9597A" w:rsidRDefault="00B9597A" w:rsidP="00B9597A">
      <w:pPr>
        <w:numPr>
          <w:ilvl w:val="0"/>
          <w:numId w:val="12"/>
        </w:numPr>
        <w:jc w:val="both"/>
        <w:rPr>
          <w:rFonts w:ascii="Aptos" w:hAnsi="Aptos" w:cs="Times New Roman"/>
        </w:rPr>
      </w:pPr>
      <w:r w:rsidRPr="00B9597A">
        <w:rPr>
          <w:rFonts w:ascii="Aptos" w:hAnsi="Aptos" w:cs="Times New Roman"/>
        </w:rPr>
        <w:lastRenderedPageBreak/>
        <w:t>Precisar el régimen de descuentos/beneficios: establecer si son acumulables y fijar topes o reglas de prioridad, para asegurar claridad aplicativa y sostenibilidad del recaudo.</w:t>
      </w:r>
    </w:p>
    <w:p w14:paraId="09422898" w14:textId="77777777" w:rsidR="00B9597A" w:rsidRPr="00B9597A" w:rsidRDefault="00B9597A" w:rsidP="00B9597A">
      <w:pPr>
        <w:numPr>
          <w:ilvl w:val="0"/>
          <w:numId w:val="12"/>
        </w:numPr>
        <w:jc w:val="both"/>
        <w:rPr>
          <w:rFonts w:ascii="Aptos" w:hAnsi="Aptos" w:cs="Times New Roman"/>
        </w:rPr>
      </w:pPr>
      <w:r w:rsidRPr="00B9597A">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670E" w14:textId="77777777" w:rsidR="00A53B01" w:rsidRDefault="00A53B01" w:rsidP="00707E60">
      <w:pPr>
        <w:spacing w:after="0" w:line="240" w:lineRule="auto"/>
      </w:pPr>
      <w:r>
        <w:separator/>
      </w:r>
    </w:p>
  </w:endnote>
  <w:endnote w:type="continuationSeparator" w:id="0">
    <w:p w14:paraId="15C15281" w14:textId="77777777" w:rsidR="00A53B01" w:rsidRDefault="00A53B01"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8FD2" w14:textId="77777777" w:rsidR="00A53B01" w:rsidRDefault="00A53B01" w:rsidP="00707E60">
      <w:pPr>
        <w:spacing w:after="0" w:line="240" w:lineRule="auto"/>
      </w:pPr>
      <w:r>
        <w:separator/>
      </w:r>
    </w:p>
  </w:footnote>
  <w:footnote w:type="continuationSeparator" w:id="0">
    <w:p w14:paraId="664B2595" w14:textId="77777777" w:rsidR="00A53B01" w:rsidRDefault="00A53B01"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DBBAF3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9597A">
                            <w:rPr>
                              <w:color w:val="000000" w:themeColor="text1"/>
                              <w:sz w:val="28"/>
                              <w:szCs w:val="28"/>
                            </w:rPr>
                            <w:t>San Andrés de Cuerquía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DBBAF3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9597A">
                      <w:rPr>
                        <w:color w:val="000000" w:themeColor="text1"/>
                        <w:sz w:val="28"/>
                        <w:szCs w:val="28"/>
                      </w:rPr>
                      <w:t>San Andrés de Cuerquía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4"/>
  </w:num>
  <w:num w:numId="2" w16cid:durableId="1017347282">
    <w:abstractNumId w:val="8"/>
  </w:num>
  <w:num w:numId="3" w16cid:durableId="44450645">
    <w:abstractNumId w:val="10"/>
  </w:num>
  <w:num w:numId="4" w16cid:durableId="1953855267">
    <w:abstractNumId w:val="0"/>
  </w:num>
  <w:num w:numId="5" w16cid:durableId="279457733">
    <w:abstractNumId w:val="5"/>
  </w:num>
  <w:num w:numId="6" w16cid:durableId="829055416">
    <w:abstractNumId w:val="1"/>
  </w:num>
  <w:num w:numId="7" w16cid:durableId="1974747392">
    <w:abstractNumId w:val="3"/>
  </w:num>
  <w:num w:numId="8" w16cid:durableId="1342120387">
    <w:abstractNumId w:val="9"/>
  </w:num>
  <w:num w:numId="9" w16cid:durableId="350257001">
    <w:abstractNumId w:val="2"/>
  </w:num>
  <w:num w:numId="10" w16cid:durableId="1078140204">
    <w:abstractNumId w:val="6"/>
  </w:num>
  <w:num w:numId="11" w16cid:durableId="1792938771">
    <w:abstractNumId w:val="7"/>
  </w:num>
  <w:num w:numId="12" w16cid:durableId="1526560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5422DF"/>
    <w:rsid w:val="005D08ED"/>
    <w:rsid w:val="005F7A75"/>
    <w:rsid w:val="00605B4C"/>
    <w:rsid w:val="00665846"/>
    <w:rsid w:val="006A249B"/>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597A"/>
    <w:rsid w:val="00BC7035"/>
    <w:rsid w:val="00BE3801"/>
    <w:rsid w:val="00C04706"/>
    <w:rsid w:val="00C24423"/>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8</cp:revision>
  <dcterms:created xsi:type="dcterms:W3CDTF">2025-10-23T17:12:00Z</dcterms:created>
  <dcterms:modified xsi:type="dcterms:W3CDTF">2025-10-24T17:46:00Z</dcterms:modified>
</cp:coreProperties>
</file>