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2A5E" w14:textId="77777777" w:rsidR="004107CA" w:rsidRDefault="004107CA"/>
    <w:p w14:paraId="69C464BD" w14:textId="77777777" w:rsidR="00707E60" w:rsidRDefault="00707E60"/>
    <w:p w14:paraId="7C41B434" w14:textId="77777777" w:rsidR="00707E60" w:rsidRDefault="00707E60"/>
    <w:p w14:paraId="65123F46" w14:textId="77777777" w:rsidR="00707E60" w:rsidRDefault="00707E60"/>
    <w:p w14:paraId="4234CDFE" w14:textId="77777777" w:rsidR="00707E60" w:rsidRDefault="00707E60"/>
    <w:p w14:paraId="7411AD1A" w14:textId="73CF28AB" w:rsidR="00707E60" w:rsidRDefault="00707E60"/>
    <w:p w14:paraId="33230097" w14:textId="669EDDD4" w:rsidR="00707E60" w:rsidRDefault="00707E60" w:rsidP="00707E60">
      <w:pPr>
        <w:jc w:val="center"/>
      </w:pPr>
    </w:p>
    <w:p w14:paraId="524EFE21" w14:textId="331BC161" w:rsidR="00707E60" w:rsidRDefault="00707E60" w:rsidP="00707E60">
      <w:pPr>
        <w:pStyle w:val="NoSpacing"/>
        <w:jc w:val="center"/>
        <w:rPr>
          <w:b/>
          <w:bCs/>
          <w:color w:val="002060"/>
          <w:sz w:val="56"/>
          <w:szCs w:val="56"/>
        </w:rPr>
      </w:pPr>
    </w:p>
    <w:p w14:paraId="06CCB526" w14:textId="4AD669AC" w:rsidR="00707E60" w:rsidRDefault="00707E60" w:rsidP="00707E60">
      <w:pPr>
        <w:pStyle w:val="NoSpacing"/>
        <w:jc w:val="center"/>
        <w:rPr>
          <w:b/>
          <w:bCs/>
          <w:color w:val="002060"/>
          <w:sz w:val="56"/>
          <w:szCs w:val="56"/>
        </w:rPr>
      </w:pPr>
      <w:r w:rsidRPr="001B18EF">
        <w:rPr>
          <w:noProof/>
          <w:lang w:eastAsia="es-CO"/>
        </w:rPr>
        <w:drawing>
          <wp:anchor distT="0" distB="0" distL="114300" distR="114300" simplePos="0" relativeHeight="251659264" behindDoc="0" locked="0" layoutInCell="1" allowOverlap="1" wp14:anchorId="2C40115D" wp14:editId="24C321DE">
            <wp:simplePos x="0" y="0"/>
            <wp:positionH relativeFrom="column">
              <wp:posOffset>1302151</wp:posOffset>
            </wp:positionH>
            <wp:positionV relativeFrom="paragraph">
              <wp:posOffset>166370</wp:posOffset>
            </wp:positionV>
            <wp:extent cx="3268980" cy="942975"/>
            <wp:effectExtent l="0" t="0" r="0" b="0"/>
            <wp:wrapSquare wrapText="bothSides"/>
            <wp:docPr id="719188107"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8980"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0E95E" w14:textId="0BCC274E" w:rsidR="00707E60" w:rsidRDefault="00707E60" w:rsidP="00707E60">
      <w:pPr>
        <w:pStyle w:val="NoSpacing"/>
        <w:jc w:val="center"/>
        <w:rPr>
          <w:b/>
          <w:bCs/>
          <w:color w:val="002060"/>
          <w:sz w:val="56"/>
          <w:szCs w:val="56"/>
        </w:rPr>
      </w:pPr>
    </w:p>
    <w:p w14:paraId="5CC9BDC5" w14:textId="2A351149" w:rsidR="00707E60" w:rsidRDefault="00707E60" w:rsidP="00707E60">
      <w:pPr>
        <w:pStyle w:val="NoSpacing"/>
        <w:jc w:val="center"/>
        <w:rPr>
          <w:b/>
          <w:bCs/>
          <w:color w:val="002060"/>
          <w:sz w:val="56"/>
          <w:szCs w:val="56"/>
        </w:rPr>
      </w:pPr>
    </w:p>
    <w:p w14:paraId="54E972D6" w14:textId="77777777" w:rsidR="00DD0016" w:rsidRDefault="00DD0016" w:rsidP="00DD0016">
      <w:pPr>
        <w:pStyle w:val="NoSpacing"/>
        <w:jc w:val="center"/>
        <w:rPr>
          <w:b/>
          <w:bCs/>
          <w:color w:val="000000" w:themeColor="text1"/>
          <w:sz w:val="56"/>
          <w:szCs w:val="56"/>
        </w:rPr>
      </w:pPr>
      <w:r w:rsidRPr="00AB4389">
        <w:rPr>
          <w:b/>
          <w:bCs/>
          <w:color w:val="000000" w:themeColor="text1"/>
          <w:sz w:val="56"/>
          <w:szCs w:val="56"/>
        </w:rPr>
        <w:t>Análisis Jurídico de Estatuto Tributario</w:t>
      </w:r>
    </w:p>
    <w:p w14:paraId="68B285CD" w14:textId="77777777" w:rsidR="00707E60" w:rsidRPr="00707E60" w:rsidRDefault="00707E60" w:rsidP="00707E60">
      <w:pPr>
        <w:pStyle w:val="NoSpacing"/>
        <w:jc w:val="center"/>
        <w:rPr>
          <w:color w:val="000000" w:themeColor="text1"/>
          <w:sz w:val="72"/>
          <w:szCs w:val="72"/>
        </w:rPr>
      </w:pPr>
    </w:p>
    <w:p w14:paraId="2FE843B9" w14:textId="403BA076" w:rsidR="00707E60" w:rsidRPr="00707E60" w:rsidRDefault="00707E60" w:rsidP="00707E60">
      <w:pPr>
        <w:pStyle w:val="NoSpacing"/>
        <w:jc w:val="center"/>
        <w:rPr>
          <w:color w:val="000000" w:themeColor="text1"/>
          <w:sz w:val="44"/>
          <w:szCs w:val="44"/>
        </w:rPr>
      </w:pPr>
      <w:r w:rsidRPr="00707E60">
        <w:rPr>
          <w:color w:val="000000" w:themeColor="text1"/>
          <w:sz w:val="44"/>
          <w:szCs w:val="44"/>
        </w:rPr>
        <w:t xml:space="preserve">Municipio: </w:t>
      </w:r>
      <w:r w:rsidR="000A5758">
        <w:rPr>
          <w:color w:val="000000" w:themeColor="text1"/>
          <w:sz w:val="44"/>
          <w:szCs w:val="44"/>
        </w:rPr>
        <w:t>San José de la Montaña</w:t>
      </w:r>
    </w:p>
    <w:p w14:paraId="3460615A" w14:textId="77777777" w:rsidR="00707E60" w:rsidRPr="00707E60" w:rsidRDefault="00707E60"/>
    <w:p w14:paraId="0107F43B" w14:textId="77777777" w:rsidR="00707E60" w:rsidRDefault="00707E60"/>
    <w:p w14:paraId="6154161F" w14:textId="77777777" w:rsidR="00707E60" w:rsidRDefault="00707E60"/>
    <w:p w14:paraId="7789B689" w14:textId="77777777" w:rsidR="00707E60" w:rsidRDefault="00707E60"/>
    <w:p w14:paraId="422FC476" w14:textId="77777777" w:rsidR="00707E60" w:rsidRDefault="00707E60"/>
    <w:p w14:paraId="74370256" w14:textId="77777777" w:rsidR="00707E60" w:rsidRDefault="00707E60"/>
    <w:p w14:paraId="25496B82" w14:textId="77777777" w:rsidR="00707E60" w:rsidRDefault="00707E60"/>
    <w:p w14:paraId="0E10EFE4" w14:textId="77777777" w:rsidR="00707E60" w:rsidRDefault="00707E60"/>
    <w:p w14:paraId="5C9DCB25" w14:textId="77777777" w:rsidR="00707E60" w:rsidRDefault="00707E60"/>
    <w:p w14:paraId="47E7D661" w14:textId="77777777" w:rsidR="000A5758" w:rsidRPr="000A5758" w:rsidRDefault="000A5758" w:rsidP="000A5758">
      <w:pPr>
        <w:spacing w:line="360" w:lineRule="auto"/>
        <w:jc w:val="both"/>
        <w:rPr>
          <w:rFonts w:ascii="Aptos" w:hAnsi="Aptos" w:cs="Times New Roman"/>
        </w:rPr>
      </w:pPr>
      <w:r w:rsidRPr="000A5758">
        <w:rPr>
          <w:rFonts w:ascii="Aptos" w:hAnsi="Aptos" w:cs="Times New Roman"/>
        </w:rPr>
        <w:lastRenderedPageBreak/>
        <w:t>El estado actual de su normatividad tributaria se establece en el Acuerdo 009 de 2024.</w:t>
      </w:r>
    </w:p>
    <w:p w14:paraId="24181FA8" w14:textId="77777777" w:rsidR="000A5758" w:rsidRPr="000A5758" w:rsidRDefault="000A5758" w:rsidP="000A5758">
      <w:pPr>
        <w:spacing w:line="360" w:lineRule="auto"/>
        <w:jc w:val="both"/>
        <w:rPr>
          <w:rFonts w:ascii="Aptos" w:hAnsi="Aptos" w:cs="Times New Roman"/>
          <w:b/>
          <w:bCs/>
          <w:sz w:val="32"/>
          <w:szCs w:val="32"/>
        </w:rPr>
      </w:pPr>
      <w:r w:rsidRPr="000A5758">
        <w:rPr>
          <w:rFonts w:ascii="Aptos" w:hAnsi="Aptos" w:cs="Times New Roman"/>
          <w:b/>
          <w:bCs/>
          <w:sz w:val="32"/>
          <w:szCs w:val="32"/>
        </w:rPr>
        <w:t>Hallazgos</w:t>
      </w:r>
    </w:p>
    <w:p w14:paraId="4C833065" w14:textId="77777777" w:rsidR="000A5758" w:rsidRPr="000A5758" w:rsidRDefault="000A5758" w:rsidP="000A5758">
      <w:pPr>
        <w:numPr>
          <w:ilvl w:val="0"/>
          <w:numId w:val="33"/>
        </w:numPr>
        <w:spacing w:line="360" w:lineRule="auto"/>
        <w:jc w:val="both"/>
        <w:rPr>
          <w:rFonts w:ascii="Aptos" w:hAnsi="Aptos" w:cs="Times New Roman"/>
        </w:rPr>
      </w:pPr>
      <w:r w:rsidRPr="000A5758">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5FE46DA7" w14:textId="77777777" w:rsidR="000A5758" w:rsidRPr="000A5758" w:rsidRDefault="000A5758" w:rsidP="000A5758">
      <w:pPr>
        <w:numPr>
          <w:ilvl w:val="0"/>
          <w:numId w:val="33"/>
        </w:numPr>
        <w:spacing w:line="360" w:lineRule="auto"/>
        <w:jc w:val="both"/>
        <w:rPr>
          <w:rFonts w:ascii="Aptos" w:hAnsi="Aptos" w:cs="Times New Roman"/>
        </w:rPr>
      </w:pPr>
      <w:r w:rsidRPr="000A5758">
        <w:rPr>
          <w:rFonts w:ascii="Aptos" w:hAnsi="Aptos" w:cs="Times New Roman"/>
        </w:rPr>
        <w:t>El Impuesto Predial Unificado se desarrolla a partir del artículo 11: se establece autorización legal, carácter real, definición de avalúo catastral y elementos del tributo.</w:t>
      </w:r>
    </w:p>
    <w:p w14:paraId="594F8D23" w14:textId="77777777" w:rsidR="000A5758" w:rsidRPr="000A5758" w:rsidRDefault="000A5758" w:rsidP="000A5758">
      <w:pPr>
        <w:numPr>
          <w:ilvl w:val="0"/>
          <w:numId w:val="33"/>
        </w:numPr>
        <w:spacing w:line="360" w:lineRule="auto"/>
        <w:jc w:val="both"/>
        <w:rPr>
          <w:rFonts w:ascii="Aptos" w:hAnsi="Aptos" w:cs="Times New Roman"/>
        </w:rPr>
      </w:pPr>
      <w:r w:rsidRPr="000A5758">
        <w:rPr>
          <w:rFonts w:ascii="Aptos" w:hAnsi="Aptos" w:cs="Times New Roman"/>
        </w:rPr>
        <w:t>Matriz tarifaria por destinos económicos y rangos de avalúo (mínima 5 por mil y máxima 33 por mil); se indica que debe ajustarse a la nueva resolución de la Gerencia de Catastro con homologación reciente.</w:t>
      </w:r>
    </w:p>
    <w:p w14:paraId="5BE66003" w14:textId="77777777" w:rsidR="000A5758" w:rsidRPr="000A5758" w:rsidRDefault="000A5758" w:rsidP="000A5758">
      <w:pPr>
        <w:numPr>
          <w:ilvl w:val="0"/>
          <w:numId w:val="33"/>
        </w:numPr>
        <w:spacing w:line="360" w:lineRule="auto"/>
        <w:jc w:val="both"/>
        <w:rPr>
          <w:rFonts w:ascii="Aptos" w:hAnsi="Aptos" w:cs="Times New Roman"/>
        </w:rPr>
      </w:pPr>
      <w:r w:rsidRPr="000A5758">
        <w:rPr>
          <w:rFonts w:ascii="Aptos" w:hAnsi="Aptos" w:cs="Times New Roman"/>
        </w:rPr>
        <w:t>En procedimientos catastrales se cita la Resolución 070 de 2011, que requiere actualización a la Resolución 1040 de 2023.</w:t>
      </w:r>
    </w:p>
    <w:p w14:paraId="2FFE4D4D" w14:textId="77777777" w:rsidR="000A5758" w:rsidRPr="000A5758" w:rsidRDefault="000A5758" w:rsidP="000A5758">
      <w:pPr>
        <w:numPr>
          <w:ilvl w:val="0"/>
          <w:numId w:val="33"/>
        </w:numPr>
        <w:spacing w:line="360" w:lineRule="auto"/>
        <w:jc w:val="both"/>
        <w:rPr>
          <w:rFonts w:ascii="Aptos" w:hAnsi="Aptos" w:cs="Times New Roman"/>
        </w:rPr>
      </w:pPr>
      <w:r w:rsidRPr="000A5758">
        <w:rPr>
          <w:rFonts w:ascii="Aptos" w:hAnsi="Aptos" w:cs="Times New Roman"/>
        </w:rPr>
        <w:t>Clasificación urbano/rural por mayor extensión del terreno, con efectos en aplicación de tarifas; se sugiere revisar para valorar por zona y aplicar tarifa correspondiente según condición urbano/rural.</w:t>
      </w:r>
    </w:p>
    <w:p w14:paraId="49E84044" w14:textId="77777777" w:rsidR="000A5758" w:rsidRPr="000A5758" w:rsidRDefault="000A5758" w:rsidP="000A5758">
      <w:pPr>
        <w:numPr>
          <w:ilvl w:val="0"/>
          <w:numId w:val="33"/>
        </w:numPr>
        <w:spacing w:line="360" w:lineRule="auto"/>
        <w:jc w:val="both"/>
        <w:rPr>
          <w:rFonts w:ascii="Aptos" w:hAnsi="Aptos" w:cs="Times New Roman"/>
        </w:rPr>
      </w:pPr>
      <w:r w:rsidRPr="000A5758">
        <w:rPr>
          <w:rFonts w:ascii="Aptos" w:hAnsi="Aptos" w:cs="Times New Roman"/>
        </w:rPr>
        <w:t>Beneficio para áreas de retiro obligatorio de vías nacionales; se advierte la necesidad de inventario predial y verificación de aplicación en la liquidación del IPU.</w:t>
      </w:r>
    </w:p>
    <w:p w14:paraId="6DF63A81" w14:textId="77777777" w:rsidR="000A5758" w:rsidRPr="000A5758" w:rsidRDefault="000A5758" w:rsidP="000A5758">
      <w:pPr>
        <w:numPr>
          <w:ilvl w:val="0"/>
          <w:numId w:val="33"/>
        </w:numPr>
        <w:spacing w:line="360" w:lineRule="auto"/>
        <w:jc w:val="both"/>
        <w:rPr>
          <w:rFonts w:ascii="Aptos" w:hAnsi="Aptos" w:cs="Times New Roman"/>
        </w:rPr>
      </w:pPr>
      <w:r w:rsidRPr="000A5758">
        <w:rPr>
          <w:rFonts w:ascii="Aptos" w:hAnsi="Aptos" w:cs="Times New Roman"/>
        </w:rPr>
        <w:t>Exclusión del IPU para predios entregados a proyectos de utilidad pública desde la fecha del acta de entrega.</w:t>
      </w:r>
    </w:p>
    <w:p w14:paraId="1A2F63D9" w14:textId="77777777" w:rsidR="000A5758" w:rsidRPr="000A5758" w:rsidRDefault="000A5758" w:rsidP="000A5758">
      <w:pPr>
        <w:numPr>
          <w:ilvl w:val="0"/>
          <w:numId w:val="33"/>
        </w:numPr>
        <w:spacing w:line="360" w:lineRule="auto"/>
        <w:jc w:val="both"/>
        <w:rPr>
          <w:rFonts w:ascii="Aptos" w:hAnsi="Aptos" w:cs="Times New Roman"/>
        </w:rPr>
      </w:pPr>
      <w:r w:rsidRPr="000A5758">
        <w:rPr>
          <w:rFonts w:ascii="Aptos" w:hAnsi="Aptos" w:cs="Times New Roman"/>
        </w:rPr>
        <w:t>Se listan bienes de prohibido gravamen (p. ej., iglesias, bienes de uso público, monumentos nacionales, delegaciones extranjeras, Cruz Roja/Defensa Civil, bomberos, escuelas, centros de salud, sedes administrativas).</w:t>
      </w:r>
    </w:p>
    <w:p w14:paraId="27162E69" w14:textId="77777777" w:rsidR="000A5758" w:rsidRPr="000A5758" w:rsidRDefault="000A5758" w:rsidP="000A5758">
      <w:pPr>
        <w:numPr>
          <w:ilvl w:val="0"/>
          <w:numId w:val="33"/>
        </w:numPr>
        <w:spacing w:line="360" w:lineRule="auto"/>
        <w:jc w:val="both"/>
        <w:rPr>
          <w:rFonts w:ascii="Aptos" w:hAnsi="Aptos" w:cs="Times New Roman"/>
        </w:rPr>
      </w:pPr>
      <w:r w:rsidRPr="000A5758">
        <w:rPr>
          <w:rFonts w:ascii="Aptos" w:hAnsi="Aptos" w:cs="Times New Roman"/>
        </w:rPr>
        <w:t xml:space="preserve">Exenciones: corporaciones autónomas, predios de manejo administrativo/operativo, conservación de agua, fauna y flora, bienestar del anciano, tumbas y bóvedas; además, </w:t>
      </w:r>
      <w:r w:rsidRPr="000A5758">
        <w:rPr>
          <w:rFonts w:ascii="Aptos" w:hAnsi="Aptos" w:cs="Times New Roman"/>
        </w:rPr>
        <w:lastRenderedPageBreak/>
        <w:t>beneficio tarifario para inmuebles en zonas de alto riesgo (pagarán menos que la tarifa de la matriz).</w:t>
      </w:r>
    </w:p>
    <w:p w14:paraId="18FF3CED" w14:textId="77777777" w:rsidR="000A5758" w:rsidRPr="000A5758" w:rsidRDefault="000A5758" w:rsidP="000A5758">
      <w:pPr>
        <w:numPr>
          <w:ilvl w:val="0"/>
          <w:numId w:val="33"/>
        </w:numPr>
        <w:spacing w:line="360" w:lineRule="auto"/>
        <w:jc w:val="both"/>
        <w:rPr>
          <w:rFonts w:ascii="Aptos" w:hAnsi="Aptos" w:cs="Times New Roman"/>
        </w:rPr>
      </w:pPr>
      <w:r w:rsidRPr="000A5758">
        <w:rPr>
          <w:rFonts w:ascii="Aptos" w:hAnsi="Aptos" w:cs="Times New Roman"/>
        </w:rPr>
        <w:t>Determinación oficial vía factura; Secretaría de Hacienda con facultad para fijar y facturar según condiciones de caja del municipio.</w:t>
      </w:r>
    </w:p>
    <w:p w14:paraId="12D10E37" w14:textId="77777777" w:rsidR="000A5758" w:rsidRPr="000A5758" w:rsidRDefault="000A5758" w:rsidP="000A5758">
      <w:pPr>
        <w:numPr>
          <w:ilvl w:val="0"/>
          <w:numId w:val="33"/>
        </w:numPr>
        <w:spacing w:line="360" w:lineRule="auto"/>
        <w:jc w:val="both"/>
        <w:rPr>
          <w:rFonts w:ascii="Aptos" w:hAnsi="Aptos" w:cs="Times New Roman"/>
        </w:rPr>
      </w:pPr>
      <w:r w:rsidRPr="000A5758">
        <w:rPr>
          <w:rFonts w:ascii="Aptos" w:hAnsi="Aptos" w:cs="Times New Roman"/>
        </w:rPr>
        <w:t>Beneficios por pronto pago: 5 %, 10 % y 15 %, según plazos.</w:t>
      </w:r>
    </w:p>
    <w:p w14:paraId="791B1DB5" w14:textId="77777777" w:rsidR="000A5758" w:rsidRPr="000A5758" w:rsidRDefault="000A5758" w:rsidP="000A5758">
      <w:pPr>
        <w:numPr>
          <w:ilvl w:val="0"/>
          <w:numId w:val="33"/>
        </w:numPr>
        <w:spacing w:line="360" w:lineRule="auto"/>
        <w:jc w:val="both"/>
        <w:rPr>
          <w:rFonts w:ascii="Aptos" w:hAnsi="Aptos" w:cs="Times New Roman"/>
        </w:rPr>
      </w:pPr>
      <w:r w:rsidRPr="000A5758">
        <w:rPr>
          <w:rFonts w:ascii="Aptos" w:hAnsi="Aptos" w:cs="Times New Roman"/>
        </w:rPr>
        <w:t>Límites del IPU de Ley 1995 y Ley 44 de 1990: definidos en el acuerdo.</w:t>
      </w:r>
    </w:p>
    <w:p w14:paraId="204F9EC5" w14:textId="77777777" w:rsidR="000A5758" w:rsidRPr="000A5758" w:rsidRDefault="000A5758" w:rsidP="000A5758">
      <w:pPr>
        <w:numPr>
          <w:ilvl w:val="0"/>
          <w:numId w:val="33"/>
        </w:numPr>
        <w:spacing w:line="360" w:lineRule="auto"/>
        <w:jc w:val="both"/>
        <w:rPr>
          <w:rFonts w:ascii="Aptos" w:hAnsi="Aptos" w:cs="Times New Roman"/>
        </w:rPr>
      </w:pPr>
      <w:r w:rsidRPr="000A5758">
        <w:rPr>
          <w:rFonts w:ascii="Aptos" w:hAnsi="Aptos" w:cs="Times New Roman"/>
        </w:rPr>
        <w:t>No se observan reglas sobre rezago catastral.</w:t>
      </w:r>
    </w:p>
    <w:p w14:paraId="298AA257" w14:textId="77777777" w:rsidR="000A5758" w:rsidRPr="000A5758" w:rsidRDefault="000A5758" w:rsidP="000A5758">
      <w:pPr>
        <w:numPr>
          <w:ilvl w:val="0"/>
          <w:numId w:val="33"/>
        </w:numPr>
        <w:spacing w:line="360" w:lineRule="auto"/>
        <w:jc w:val="both"/>
        <w:rPr>
          <w:rFonts w:ascii="Aptos" w:hAnsi="Aptos" w:cs="Times New Roman"/>
        </w:rPr>
      </w:pPr>
      <w:r w:rsidRPr="000A5758">
        <w:rPr>
          <w:rFonts w:ascii="Aptos" w:hAnsi="Aptos" w:cs="Times New Roman"/>
        </w:rPr>
        <w:t>Sobretasa ambiental: 1,5 por mil.</w:t>
      </w:r>
    </w:p>
    <w:p w14:paraId="4682B4FA" w14:textId="77777777" w:rsidR="000A5758" w:rsidRPr="000A5758" w:rsidRDefault="000A5758" w:rsidP="000A5758">
      <w:pPr>
        <w:numPr>
          <w:ilvl w:val="0"/>
          <w:numId w:val="33"/>
        </w:numPr>
        <w:spacing w:line="360" w:lineRule="auto"/>
        <w:jc w:val="both"/>
        <w:rPr>
          <w:rFonts w:ascii="Aptos" w:hAnsi="Aptos" w:cs="Times New Roman"/>
        </w:rPr>
      </w:pPr>
      <w:r w:rsidRPr="000A5758">
        <w:rPr>
          <w:rFonts w:ascii="Aptos" w:hAnsi="Aptos" w:cs="Times New Roman"/>
        </w:rPr>
        <w:t>No se identifican sobretasa bomberil ni sobretasa de alumbrado público liquidadas sobre el avalúo catastral.</w:t>
      </w:r>
    </w:p>
    <w:p w14:paraId="1F65BEB4" w14:textId="77777777" w:rsidR="000A5758" w:rsidRPr="000A5758" w:rsidRDefault="000A5758" w:rsidP="000A5758">
      <w:pPr>
        <w:numPr>
          <w:ilvl w:val="0"/>
          <w:numId w:val="34"/>
        </w:numPr>
        <w:spacing w:line="360" w:lineRule="auto"/>
        <w:jc w:val="both"/>
        <w:rPr>
          <w:rFonts w:ascii="Aptos" w:hAnsi="Aptos" w:cs="Times New Roman"/>
        </w:rPr>
      </w:pPr>
      <w:r w:rsidRPr="000A5758">
        <w:rPr>
          <w:rFonts w:ascii="Aptos" w:hAnsi="Aptos" w:cs="Times New Roman"/>
        </w:rPr>
        <w:t>Predios con vocación de conservación (bosques naturales, nacimientos y fuentes hídricas) reciben tratamiento especial en el IPU de acuerdo con el área objeto del beneficio; igualmente, existen exenciones por conservación de agua, fauna y flora. Se requiere claridad operativa sobre requisitos, cómputo del área beneficiada y forma de acreditar la condición.</w:t>
      </w:r>
    </w:p>
    <w:p w14:paraId="1D51B7BD" w14:textId="77777777" w:rsidR="000A5758" w:rsidRPr="000A5758" w:rsidRDefault="000A5758" w:rsidP="000A5758">
      <w:pPr>
        <w:spacing w:line="360" w:lineRule="auto"/>
        <w:jc w:val="both"/>
        <w:rPr>
          <w:rFonts w:ascii="Aptos" w:hAnsi="Aptos" w:cs="Times New Roman"/>
          <w:b/>
          <w:bCs/>
          <w:sz w:val="32"/>
          <w:szCs w:val="32"/>
        </w:rPr>
      </w:pPr>
      <w:r w:rsidRPr="000A5758">
        <w:rPr>
          <w:rFonts w:ascii="Aptos" w:hAnsi="Aptos" w:cs="Times New Roman"/>
          <w:b/>
          <w:bCs/>
          <w:sz w:val="32"/>
          <w:szCs w:val="32"/>
        </w:rPr>
        <w:t>Recomendaciones</w:t>
      </w:r>
    </w:p>
    <w:p w14:paraId="630297EA" w14:textId="77777777" w:rsidR="000A5758" w:rsidRPr="000A5758" w:rsidRDefault="000A5758" w:rsidP="000A5758">
      <w:pPr>
        <w:numPr>
          <w:ilvl w:val="0"/>
          <w:numId w:val="35"/>
        </w:numPr>
        <w:spacing w:line="360" w:lineRule="auto"/>
        <w:jc w:val="both"/>
        <w:rPr>
          <w:rFonts w:ascii="Aptos" w:hAnsi="Aptos" w:cs="Times New Roman"/>
        </w:rPr>
      </w:pPr>
      <w:r w:rsidRPr="000A5758">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758AC612" w14:textId="77777777" w:rsidR="000A5758" w:rsidRPr="000A5758" w:rsidRDefault="000A5758" w:rsidP="000A5758">
      <w:pPr>
        <w:numPr>
          <w:ilvl w:val="0"/>
          <w:numId w:val="35"/>
        </w:numPr>
        <w:spacing w:line="360" w:lineRule="auto"/>
        <w:jc w:val="both"/>
        <w:rPr>
          <w:rFonts w:ascii="Aptos" w:hAnsi="Aptos" w:cs="Times New Roman"/>
        </w:rPr>
      </w:pPr>
      <w:r w:rsidRPr="000A5758">
        <w:rPr>
          <w:rFonts w:ascii="Aptos" w:hAnsi="Aptos" w:cs="Times New Roman"/>
        </w:rPr>
        <w:t>Ajustar la matriz tarifaria a la homologación de destinos económicos vigente y sustituir referencias de procedimientos catastrales de Resolución 070 de 2011 por Resolución 1040 de 2023.</w:t>
      </w:r>
    </w:p>
    <w:p w14:paraId="67DD871D" w14:textId="77777777" w:rsidR="000A5758" w:rsidRPr="000A5758" w:rsidRDefault="000A5758" w:rsidP="000A5758">
      <w:pPr>
        <w:numPr>
          <w:ilvl w:val="0"/>
          <w:numId w:val="35"/>
        </w:numPr>
        <w:spacing w:line="360" w:lineRule="auto"/>
        <w:jc w:val="both"/>
        <w:rPr>
          <w:rFonts w:ascii="Aptos" w:hAnsi="Aptos" w:cs="Times New Roman"/>
        </w:rPr>
      </w:pPr>
      <w:r w:rsidRPr="000A5758">
        <w:rPr>
          <w:rFonts w:ascii="Aptos" w:hAnsi="Aptos" w:cs="Times New Roman"/>
        </w:rPr>
        <w:t>Precisar la metodología de clasificación y liquidación para predios con partes urbano/rural: determinar avalúo por zonas y aplicar tarifas según la condición de cada segmento, evitando indeterminaciones.</w:t>
      </w:r>
    </w:p>
    <w:p w14:paraId="38955700" w14:textId="77777777" w:rsidR="000A5758" w:rsidRPr="000A5758" w:rsidRDefault="000A5758" w:rsidP="000A5758">
      <w:pPr>
        <w:numPr>
          <w:ilvl w:val="0"/>
          <w:numId w:val="35"/>
        </w:numPr>
        <w:spacing w:line="360" w:lineRule="auto"/>
        <w:jc w:val="both"/>
        <w:rPr>
          <w:rFonts w:ascii="Aptos" w:hAnsi="Aptos" w:cs="Times New Roman"/>
        </w:rPr>
      </w:pPr>
      <w:r w:rsidRPr="000A5758">
        <w:rPr>
          <w:rFonts w:ascii="Aptos" w:hAnsi="Aptos" w:cs="Times New Roman"/>
        </w:rPr>
        <w:lastRenderedPageBreak/>
        <w:t>Definir límites y reglas de gradualidad por rezago catastral, con topes anuales, metodología de aplicación y régimen de transición, articulados con los límites ya previstos en Ley 44 de 1990 y Ley 1995.</w:t>
      </w:r>
    </w:p>
    <w:p w14:paraId="54377151" w14:textId="77777777" w:rsidR="000A5758" w:rsidRPr="000A5758" w:rsidRDefault="000A5758" w:rsidP="000A5758">
      <w:pPr>
        <w:numPr>
          <w:ilvl w:val="0"/>
          <w:numId w:val="35"/>
        </w:numPr>
        <w:spacing w:line="360" w:lineRule="auto"/>
        <w:jc w:val="both"/>
        <w:rPr>
          <w:rFonts w:ascii="Aptos" w:hAnsi="Aptos" w:cs="Times New Roman"/>
        </w:rPr>
      </w:pPr>
      <w:r w:rsidRPr="000A5758">
        <w:rPr>
          <w:rFonts w:ascii="Aptos" w:hAnsi="Aptos" w:cs="Times New Roman"/>
        </w:rPr>
        <w:t>Regular el beneficio por áreas de retiro obligatorio de vías nacionales: elaborar inventario, fijar criterios de identificación, documentación y efectos en la base/tarifa del IPU. Y estudio se impactó fiscal</w:t>
      </w:r>
    </w:p>
    <w:p w14:paraId="6E0313DA" w14:textId="77777777" w:rsidR="000A5758" w:rsidRPr="000A5758" w:rsidRDefault="000A5758" w:rsidP="000A5758">
      <w:pPr>
        <w:numPr>
          <w:ilvl w:val="0"/>
          <w:numId w:val="35"/>
        </w:numPr>
        <w:spacing w:line="360" w:lineRule="auto"/>
        <w:jc w:val="both"/>
        <w:rPr>
          <w:rFonts w:ascii="Aptos" w:hAnsi="Aptos" w:cs="Times New Roman"/>
        </w:rPr>
      </w:pPr>
      <w:r w:rsidRPr="000A5758">
        <w:rPr>
          <w:rFonts w:ascii="Aptos" w:hAnsi="Aptos" w:cs="Times New Roman"/>
        </w:rPr>
        <w:t>Diferenciar y reglamentar prohibido gravamen vs. exenciones: tipo de beneficio, requisitos, vigencia y procedimiento; además, detallar el beneficio tarifario de alto riesgo (parámetros, certificación, duración).</w:t>
      </w:r>
    </w:p>
    <w:p w14:paraId="071D93D3" w14:textId="77777777" w:rsidR="000A5758" w:rsidRPr="000A5758" w:rsidRDefault="000A5758" w:rsidP="000A5758">
      <w:pPr>
        <w:numPr>
          <w:ilvl w:val="0"/>
          <w:numId w:val="35"/>
        </w:numPr>
        <w:spacing w:line="360" w:lineRule="auto"/>
        <w:jc w:val="both"/>
        <w:rPr>
          <w:rFonts w:ascii="Aptos" w:hAnsi="Aptos" w:cs="Times New Roman"/>
        </w:rPr>
      </w:pPr>
      <w:r w:rsidRPr="000A5758">
        <w:rPr>
          <w:rFonts w:ascii="Aptos" w:hAnsi="Aptos" w:cs="Times New Roman"/>
        </w:rPr>
        <w:t>Establecer reglas de facturación que concilien la facultad de Hacienda con un calendario cierto de emisión y vencimientos, asegurando previsibilidad para el contribuyente y control de los descuentos por pronto pago.</w:t>
      </w:r>
    </w:p>
    <w:p w14:paraId="59F5D9C1" w14:textId="77777777" w:rsidR="00707E60" w:rsidRPr="000A5758" w:rsidRDefault="00707E60"/>
    <w:p w14:paraId="39A1343E" w14:textId="77777777" w:rsidR="00707E60" w:rsidRDefault="00707E60"/>
    <w:p w14:paraId="46B394A7" w14:textId="77777777" w:rsidR="00707E60" w:rsidRDefault="00707E60"/>
    <w:p w14:paraId="19A269B2" w14:textId="77777777" w:rsidR="00707E60" w:rsidRDefault="00707E60"/>
    <w:p w14:paraId="3158B45A" w14:textId="77777777" w:rsidR="00707E60" w:rsidRDefault="00707E60"/>
    <w:p w14:paraId="43A6B5BA" w14:textId="77777777" w:rsidR="00707E60" w:rsidRDefault="00707E60"/>
    <w:sectPr w:rsidR="00707E60" w:rsidSect="00707E60">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43DBE" w14:textId="77777777" w:rsidR="000C571B" w:rsidRDefault="000C571B" w:rsidP="00707E60">
      <w:pPr>
        <w:spacing w:after="0" w:line="240" w:lineRule="auto"/>
      </w:pPr>
      <w:r>
        <w:separator/>
      </w:r>
    </w:p>
  </w:endnote>
  <w:endnote w:type="continuationSeparator" w:id="0">
    <w:p w14:paraId="325461BF" w14:textId="77777777" w:rsidR="000C571B" w:rsidRDefault="000C571B" w:rsidP="0070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536840"/>
      <w:docPartObj>
        <w:docPartGallery w:val="Page Numbers (Bottom of Page)"/>
        <w:docPartUnique/>
      </w:docPartObj>
    </w:sdtPr>
    <w:sdtContent>
      <w:p w14:paraId="5B7F2B64" w14:textId="68F29198"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1427EE" w14:textId="77777777" w:rsidR="00707E60" w:rsidRDefault="00707E60" w:rsidP="00707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755832"/>
      <w:docPartObj>
        <w:docPartGallery w:val="Page Numbers (Bottom of Page)"/>
        <w:docPartUnique/>
      </w:docPartObj>
    </w:sdtPr>
    <w:sdtContent>
      <w:p w14:paraId="4BC3D90B" w14:textId="5F218685"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2F8937" w14:textId="77777777" w:rsidR="00707E60" w:rsidRDefault="00707E60" w:rsidP="00707E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BBFD9" w14:textId="77777777" w:rsidR="000C571B" w:rsidRDefault="000C571B" w:rsidP="00707E60">
      <w:pPr>
        <w:spacing w:after="0" w:line="240" w:lineRule="auto"/>
      </w:pPr>
      <w:r>
        <w:separator/>
      </w:r>
    </w:p>
  </w:footnote>
  <w:footnote w:type="continuationSeparator" w:id="0">
    <w:p w14:paraId="246E4247" w14:textId="77777777" w:rsidR="000C571B" w:rsidRDefault="000C571B" w:rsidP="00707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A336" w14:textId="7FD62BEC" w:rsidR="00707E60" w:rsidRDefault="00707E60" w:rsidP="00707E60">
    <w:pPr>
      <w:pStyle w:val="Header"/>
    </w:pPr>
    <w:r w:rsidRPr="006F3507">
      <w:rPr>
        <w:noProof/>
      </w:rPr>
      <mc:AlternateContent>
        <mc:Choice Requires="wps">
          <w:drawing>
            <wp:anchor distT="0" distB="0" distL="114300" distR="114300" simplePos="0" relativeHeight="251659264" behindDoc="0" locked="0" layoutInCell="1" allowOverlap="1" wp14:anchorId="59CC783E" wp14:editId="59162596">
              <wp:simplePos x="0" y="0"/>
              <wp:positionH relativeFrom="column">
                <wp:posOffset>38500</wp:posOffset>
              </wp:positionH>
              <wp:positionV relativeFrom="paragraph">
                <wp:posOffset>-112696</wp:posOffset>
              </wp:positionV>
              <wp:extent cx="3484345" cy="551145"/>
              <wp:effectExtent l="0" t="0" r="0" b="0"/>
              <wp:wrapNone/>
              <wp:docPr id="4" name="CuadroTexto 3">
                <a:extLst xmlns:a="http://schemas.openxmlformats.org/drawingml/2006/main">
                  <a:ext uri="{FF2B5EF4-FFF2-40B4-BE49-F238E27FC236}">
                    <a16:creationId xmlns:a16="http://schemas.microsoft.com/office/drawing/2014/main" id="{0BAB22FA-B3FF-7701-F2F6-CC0537A91E39}"/>
                  </a:ext>
                </a:extLst>
              </wp:docPr>
              <wp:cNvGraphicFramePr/>
              <a:graphic xmlns:a="http://schemas.openxmlformats.org/drawingml/2006/main">
                <a:graphicData uri="http://schemas.microsoft.com/office/word/2010/wordprocessingShape">
                  <wps:wsp>
                    <wps:cNvSpPr txBox="1"/>
                    <wps:spPr>
                      <a:xfrm>
                        <a:off x="0" y="0"/>
                        <a:ext cx="3484345" cy="551145"/>
                      </a:xfrm>
                      <a:prstGeom prst="rect">
                        <a:avLst/>
                      </a:prstGeom>
                      <a:noFill/>
                    </wps:spPr>
                    <wps:txb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3A4D1090"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0A5758">
                            <w:rPr>
                              <w:color w:val="000000" w:themeColor="text1"/>
                              <w:sz w:val="28"/>
                              <w:szCs w:val="28"/>
                            </w:rPr>
                            <w:t>San José de la Montaña</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9CC783E" id="_x0000_t202" coordsize="21600,21600" o:spt="202" path="m,l,21600r21600,l21600,xe">
              <v:stroke joinstyle="miter"/>
              <v:path gradientshapeok="t" o:connecttype="rect"/>
            </v:shapetype>
            <v:shape id="CuadroTexto 3" o:spid="_x0000_s1026" type="#_x0000_t202" style="position:absolute;margin-left:3.05pt;margin-top:-8.85pt;width:274.35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" filled="f" stroked="f">
              <v:textbo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3A4D1090"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0A5758">
                      <w:rPr>
                        <w:color w:val="000000" w:themeColor="text1"/>
                        <w:sz w:val="28"/>
                        <w:szCs w:val="28"/>
                      </w:rPr>
                      <w:t>San José de la Montaña</w:t>
                    </w:r>
                  </w:p>
                </w:txbxContent>
              </v:textbox>
            </v:shape>
          </w:pict>
        </mc:Fallback>
      </mc:AlternateContent>
    </w:r>
    <w:r w:rsidRPr="001B18EF">
      <w:rPr>
        <w:noProof/>
        <w:lang w:eastAsia="es-CO"/>
      </w:rPr>
      <w:drawing>
        <wp:anchor distT="0" distB="0" distL="114300" distR="114300" simplePos="0" relativeHeight="251660288" behindDoc="0" locked="0" layoutInCell="1" allowOverlap="1" wp14:anchorId="015C3FBD" wp14:editId="7BF962BD">
          <wp:simplePos x="0" y="0"/>
          <wp:positionH relativeFrom="column">
            <wp:posOffset>3844925</wp:posOffset>
          </wp:positionH>
          <wp:positionV relativeFrom="paragraph">
            <wp:posOffset>-174224</wp:posOffset>
          </wp:positionV>
          <wp:extent cx="2125345" cy="612775"/>
          <wp:effectExtent l="0" t="0" r="0" b="0"/>
          <wp:wrapSquare wrapText="bothSides"/>
          <wp:docPr id="866569291"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345" cy="612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253"/>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4205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06254D"/>
    <w:multiLevelType w:val="hybridMultilevel"/>
    <w:tmpl w:val="8CE80F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0024D8A"/>
    <w:multiLevelType w:val="hybridMultilevel"/>
    <w:tmpl w:val="EC0A02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2D409DF"/>
    <w:multiLevelType w:val="multilevel"/>
    <w:tmpl w:val="A122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656B6"/>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80129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37385E"/>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C3475C"/>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023C47"/>
    <w:multiLevelType w:val="hybridMultilevel"/>
    <w:tmpl w:val="7FE0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7C7ECF"/>
    <w:multiLevelType w:val="hybridMultilevel"/>
    <w:tmpl w:val="22F0A7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3EAC1018"/>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86174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F91FF4"/>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DB7B26"/>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127BE5"/>
    <w:multiLevelType w:val="hybridMultilevel"/>
    <w:tmpl w:val="B8A6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1E7BEA"/>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780CED"/>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E62793"/>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8C01C3"/>
    <w:multiLevelType w:val="hybridMultilevel"/>
    <w:tmpl w:val="AC9A32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F997892"/>
    <w:multiLevelType w:val="multilevel"/>
    <w:tmpl w:val="8280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C62DA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2C6DE2"/>
    <w:multiLevelType w:val="multilevel"/>
    <w:tmpl w:val="6BF2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9B2B40"/>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FF47F6"/>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B00E25"/>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D71B67"/>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FEA4E6E"/>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5A54FD"/>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1F4DAA"/>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DF2431"/>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B250DE"/>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52D16B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E011F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E750FC5"/>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7704">
    <w:abstractNumId w:val="9"/>
  </w:num>
  <w:num w:numId="2" w16cid:durableId="1017347282">
    <w:abstractNumId w:val="15"/>
  </w:num>
  <w:num w:numId="3" w16cid:durableId="44450645">
    <w:abstractNumId w:val="26"/>
  </w:num>
  <w:num w:numId="4" w16cid:durableId="1953855267">
    <w:abstractNumId w:val="0"/>
  </w:num>
  <w:num w:numId="5" w16cid:durableId="279457733">
    <w:abstractNumId w:val="11"/>
  </w:num>
  <w:num w:numId="6" w16cid:durableId="829055416">
    <w:abstractNumId w:val="1"/>
  </w:num>
  <w:num w:numId="7" w16cid:durableId="1974747392">
    <w:abstractNumId w:val="7"/>
  </w:num>
  <w:num w:numId="8" w16cid:durableId="1342120387">
    <w:abstractNumId w:val="21"/>
  </w:num>
  <w:num w:numId="9" w16cid:durableId="350257001">
    <w:abstractNumId w:val="6"/>
  </w:num>
  <w:num w:numId="10" w16cid:durableId="1078140204">
    <w:abstractNumId w:val="12"/>
  </w:num>
  <w:num w:numId="11" w16cid:durableId="1792938771">
    <w:abstractNumId w:val="13"/>
  </w:num>
  <w:num w:numId="12" w16cid:durableId="1526560268">
    <w:abstractNumId w:val="30"/>
  </w:num>
  <w:num w:numId="13" w16cid:durableId="684139451">
    <w:abstractNumId w:val="32"/>
  </w:num>
  <w:num w:numId="14" w16cid:durableId="2066485375">
    <w:abstractNumId w:val="33"/>
  </w:num>
  <w:num w:numId="15" w16cid:durableId="1048799774">
    <w:abstractNumId w:val="5"/>
  </w:num>
  <w:num w:numId="16" w16cid:durableId="763765178">
    <w:abstractNumId w:val="17"/>
  </w:num>
  <w:num w:numId="17" w16cid:durableId="312298011">
    <w:abstractNumId w:val="25"/>
  </w:num>
  <w:num w:numId="18" w16cid:durableId="1720469911">
    <w:abstractNumId w:val="18"/>
  </w:num>
  <w:num w:numId="19" w16cid:durableId="435371494">
    <w:abstractNumId w:val="23"/>
  </w:num>
  <w:num w:numId="20" w16cid:durableId="295719448">
    <w:abstractNumId w:val="24"/>
  </w:num>
  <w:num w:numId="21" w16cid:durableId="1577745992">
    <w:abstractNumId w:val="14"/>
  </w:num>
  <w:num w:numId="22" w16cid:durableId="1267925568">
    <w:abstractNumId w:val="28"/>
  </w:num>
  <w:num w:numId="23" w16cid:durableId="1861967186">
    <w:abstractNumId w:val="8"/>
  </w:num>
  <w:num w:numId="24" w16cid:durableId="601374337">
    <w:abstractNumId w:val="29"/>
  </w:num>
  <w:num w:numId="25" w16cid:durableId="1162700760">
    <w:abstractNumId w:val="31"/>
  </w:num>
  <w:num w:numId="26" w16cid:durableId="581332385">
    <w:abstractNumId w:val="16"/>
  </w:num>
  <w:num w:numId="27" w16cid:durableId="423887808">
    <w:abstractNumId w:val="27"/>
  </w:num>
  <w:num w:numId="28" w16cid:durableId="1186863597">
    <w:abstractNumId w:val="34"/>
  </w:num>
  <w:num w:numId="29" w16cid:durableId="340359362">
    <w:abstractNumId w:val="2"/>
  </w:num>
  <w:num w:numId="30" w16cid:durableId="1619264905">
    <w:abstractNumId w:val="3"/>
  </w:num>
  <w:num w:numId="31" w16cid:durableId="97989699">
    <w:abstractNumId w:val="10"/>
  </w:num>
  <w:num w:numId="32" w16cid:durableId="55206863">
    <w:abstractNumId w:val="19"/>
  </w:num>
  <w:num w:numId="33" w16cid:durableId="2040545959">
    <w:abstractNumId w:val="22"/>
  </w:num>
  <w:num w:numId="34" w16cid:durableId="437526546">
    <w:abstractNumId w:val="20"/>
  </w:num>
  <w:num w:numId="35" w16cid:durableId="16342171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60"/>
    <w:rsid w:val="0005161C"/>
    <w:rsid w:val="00084B98"/>
    <w:rsid w:val="000A5758"/>
    <w:rsid w:val="000C571B"/>
    <w:rsid w:val="00120797"/>
    <w:rsid w:val="00134527"/>
    <w:rsid w:val="001C6F8E"/>
    <w:rsid w:val="00211E44"/>
    <w:rsid w:val="00231736"/>
    <w:rsid w:val="0023618C"/>
    <w:rsid w:val="0031580C"/>
    <w:rsid w:val="0034535B"/>
    <w:rsid w:val="003650D0"/>
    <w:rsid w:val="003A7CEA"/>
    <w:rsid w:val="003E2241"/>
    <w:rsid w:val="003E2F94"/>
    <w:rsid w:val="004107CA"/>
    <w:rsid w:val="005422DF"/>
    <w:rsid w:val="00544342"/>
    <w:rsid w:val="005C3FCA"/>
    <w:rsid w:val="005D08ED"/>
    <w:rsid w:val="005F7A75"/>
    <w:rsid w:val="00605B4C"/>
    <w:rsid w:val="006348C8"/>
    <w:rsid w:val="00665846"/>
    <w:rsid w:val="006A249B"/>
    <w:rsid w:val="006A428E"/>
    <w:rsid w:val="006E68D4"/>
    <w:rsid w:val="00701CC9"/>
    <w:rsid w:val="00707E60"/>
    <w:rsid w:val="00723620"/>
    <w:rsid w:val="00740366"/>
    <w:rsid w:val="0075330F"/>
    <w:rsid w:val="007C2E1E"/>
    <w:rsid w:val="00813F67"/>
    <w:rsid w:val="00844CC8"/>
    <w:rsid w:val="00845F02"/>
    <w:rsid w:val="00855468"/>
    <w:rsid w:val="00933720"/>
    <w:rsid w:val="009D1788"/>
    <w:rsid w:val="009D1F9E"/>
    <w:rsid w:val="00A27409"/>
    <w:rsid w:val="00A53B01"/>
    <w:rsid w:val="00A55C9A"/>
    <w:rsid w:val="00A60686"/>
    <w:rsid w:val="00A96461"/>
    <w:rsid w:val="00AA7DD4"/>
    <w:rsid w:val="00B01FF5"/>
    <w:rsid w:val="00B34D3F"/>
    <w:rsid w:val="00B9278F"/>
    <w:rsid w:val="00B9597A"/>
    <w:rsid w:val="00BC7035"/>
    <w:rsid w:val="00BE3801"/>
    <w:rsid w:val="00C04706"/>
    <w:rsid w:val="00C24423"/>
    <w:rsid w:val="00C3440A"/>
    <w:rsid w:val="00C4509C"/>
    <w:rsid w:val="00C942B0"/>
    <w:rsid w:val="00D37EF2"/>
    <w:rsid w:val="00DB14E5"/>
    <w:rsid w:val="00DD0016"/>
    <w:rsid w:val="00E20762"/>
    <w:rsid w:val="00E20840"/>
    <w:rsid w:val="00E608BE"/>
    <w:rsid w:val="00F27231"/>
    <w:rsid w:val="00F65205"/>
    <w:rsid w:val="00FA454C"/>
    <w:rsid w:val="00FD5F5F"/>
  </w:rsids>
  <m:mathPr>
    <m:mathFont m:val="Cambria Math"/>
    <m:brkBin m:val="before"/>
    <m:brkBinSub m:val="--"/>
    <m:smallFrac m:val="0"/>
    <m:dispDef/>
    <m:lMargin m:val="0"/>
    <m:rMargin m:val="0"/>
    <m:defJc m:val="centerGroup"/>
    <m:wrapIndent m:val="1440"/>
    <m:intLim m:val="subSup"/>
    <m:naryLim m:val="undOvr"/>
  </m:mathPr>
  <w:themeFontLang w:val="en-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BB83"/>
  <w15:chartTrackingRefBased/>
  <w15:docId w15:val="{AC92E50B-06D8-7E40-8625-54C1C785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60"/>
    <w:pPr>
      <w:spacing w:after="160" w:line="259" w:lineRule="auto"/>
    </w:pPr>
    <w:rPr>
      <w:rFonts w:eastAsiaTheme="minorHAnsi"/>
      <w:sz w:val="22"/>
      <w:szCs w:val="22"/>
      <w:lang w:val="es-CO" w:eastAsia="en-US"/>
    </w:rPr>
  </w:style>
  <w:style w:type="paragraph" w:styleId="Heading1">
    <w:name w:val="heading 1"/>
    <w:basedOn w:val="Normal"/>
    <w:next w:val="Normal"/>
    <w:link w:val="Heading1Char"/>
    <w:uiPriority w:val="9"/>
    <w:qFormat/>
    <w:rsid w:val="0070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60"/>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707E60"/>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707E60"/>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707E60"/>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707E60"/>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707E60"/>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707E60"/>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707E60"/>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707E60"/>
    <w:rPr>
      <w:rFonts w:eastAsiaTheme="majorEastAsia" w:cstheme="majorBidi"/>
      <w:color w:val="272727" w:themeColor="text1" w:themeTint="D8"/>
      <w:lang w:val="es-ES"/>
    </w:rPr>
  </w:style>
  <w:style w:type="paragraph" w:styleId="Title">
    <w:name w:val="Title"/>
    <w:basedOn w:val="Subtitle"/>
    <w:next w:val="Normal"/>
    <w:link w:val="TitleChar"/>
    <w:uiPriority w:val="10"/>
    <w:qFormat/>
    <w:rsid w:val="00AA7DD4"/>
    <w:pPr>
      <w:spacing w:line="360" w:lineRule="auto"/>
      <w:ind w:left="1080" w:hanging="720"/>
      <w:contextualSpacing/>
      <w:jc w:val="both"/>
    </w:pPr>
    <w:rPr>
      <w:b/>
      <w:bCs/>
      <w:color w:val="000000" w:themeColor="text1"/>
      <w:sz w:val="32"/>
      <w:szCs w:val="32"/>
    </w:rPr>
  </w:style>
  <w:style w:type="character" w:customStyle="1" w:styleId="TitleChar">
    <w:name w:val="Title Char"/>
    <w:basedOn w:val="DefaultParagraphFont"/>
    <w:link w:val="Title"/>
    <w:uiPriority w:val="10"/>
    <w:rsid w:val="00AA7DD4"/>
    <w:rPr>
      <w:rFonts w:eastAsiaTheme="majorEastAsia" w:cstheme="majorBidi"/>
      <w:b/>
      <w:bCs/>
      <w:color w:val="000000" w:themeColor="text1"/>
      <w:spacing w:val="15"/>
      <w:sz w:val="32"/>
      <w:szCs w:val="32"/>
      <w:lang w:val="es-CO" w:eastAsia="en-US"/>
    </w:rPr>
  </w:style>
  <w:style w:type="paragraph" w:styleId="Subtitle">
    <w:name w:val="Subtitle"/>
    <w:basedOn w:val="Normal"/>
    <w:next w:val="Normal"/>
    <w:link w:val="SubtitleChar"/>
    <w:uiPriority w:val="11"/>
    <w:qFormat/>
    <w:rsid w:val="0070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E60"/>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707E60"/>
    <w:pPr>
      <w:spacing w:before="160"/>
      <w:jc w:val="center"/>
    </w:pPr>
    <w:rPr>
      <w:i/>
      <w:iCs/>
      <w:color w:val="404040" w:themeColor="text1" w:themeTint="BF"/>
    </w:rPr>
  </w:style>
  <w:style w:type="character" w:customStyle="1" w:styleId="QuoteChar">
    <w:name w:val="Quote Char"/>
    <w:basedOn w:val="DefaultParagraphFont"/>
    <w:link w:val="Quote"/>
    <w:uiPriority w:val="29"/>
    <w:rsid w:val="00707E60"/>
    <w:rPr>
      <w:i/>
      <w:iCs/>
      <w:color w:val="404040" w:themeColor="text1" w:themeTint="BF"/>
      <w:lang w:val="es-ES"/>
    </w:rPr>
  </w:style>
  <w:style w:type="paragraph" w:styleId="ListParagraph">
    <w:name w:val="List Paragraph"/>
    <w:aliases w:val="Numerado informes,Bibliografía Tesis,Figuras,parrafo,Bolita,Viñeta 4ta"/>
    <w:basedOn w:val="Normal"/>
    <w:link w:val="ListParagraphChar"/>
    <w:uiPriority w:val="34"/>
    <w:qFormat/>
    <w:rsid w:val="00707E60"/>
    <w:pPr>
      <w:ind w:left="720"/>
      <w:contextualSpacing/>
    </w:pPr>
  </w:style>
  <w:style w:type="character" w:styleId="IntenseEmphasis">
    <w:name w:val="Intense Emphasis"/>
    <w:basedOn w:val="DefaultParagraphFont"/>
    <w:uiPriority w:val="21"/>
    <w:qFormat/>
    <w:rsid w:val="00707E60"/>
    <w:rPr>
      <w:i/>
      <w:iCs/>
      <w:color w:val="0F4761" w:themeColor="accent1" w:themeShade="BF"/>
    </w:rPr>
  </w:style>
  <w:style w:type="paragraph" w:styleId="IntenseQuote">
    <w:name w:val="Intense Quote"/>
    <w:basedOn w:val="Normal"/>
    <w:next w:val="Normal"/>
    <w:link w:val="IntenseQuoteChar"/>
    <w:uiPriority w:val="30"/>
    <w:qFormat/>
    <w:rsid w:val="0070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60"/>
    <w:rPr>
      <w:i/>
      <w:iCs/>
      <w:color w:val="0F4761" w:themeColor="accent1" w:themeShade="BF"/>
      <w:lang w:val="es-ES"/>
    </w:rPr>
  </w:style>
  <w:style w:type="character" w:styleId="IntenseReference">
    <w:name w:val="Intense Reference"/>
    <w:basedOn w:val="DefaultParagraphFont"/>
    <w:uiPriority w:val="32"/>
    <w:qFormat/>
    <w:rsid w:val="00707E60"/>
    <w:rPr>
      <w:b/>
      <w:bCs/>
      <w:smallCaps/>
      <w:color w:val="0F4761" w:themeColor="accent1" w:themeShade="BF"/>
      <w:spacing w:val="5"/>
    </w:rPr>
  </w:style>
  <w:style w:type="paragraph" w:styleId="Header">
    <w:name w:val="header"/>
    <w:basedOn w:val="Normal"/>
    <w:link w:val="HeaderChar"/>
    <w:uiPriority w:val="99"/>
    <w:unhideWhenUsed/>
    <w:rsid w:val="00707E60"/>
    <w:pPr>
      <w:tabs>
        <w:tab w:val="center" w:pos="4680"/>
        <w:tab w:val="right" w:pos="9360"/>
      </w:tabs>
    </w:pPr>
  </w:style>
  <w:style w:type="character" w:customStyle="1" w:styleId="HeaderChar">
    <w:name w:val="Header Char"/>
    <w:basedOn w:val="DefaultParagraphFont"/>
    <w:link w:val="Header"/>
    <w:uiPriority w:val="99"/>
    <w:rsid w:val="00707E60"/>
    <w:rPr>
      <w:lang w:val="es-ES"/>
    </w:rPr>
  </w:style>
  <w:style w:type="paragraph" w:styleId="Footer">
    <w:name w:val="footer"/>
    <w:basedOn w:val="Normal"/>
    <w:link w:val="FooterChar"/>
    <w:uiPriority w:val="99"/>
    <w:unhideWhenUsed/>
    <w:rsid w:val="00707E60"/>
    <w:pPr>
      <w:tabs>
        <w:tab w:val="center" w:pos="4680"/>
        <w:tab w:val="right" w:pos="9360"/>
      </w:tabs>
    </w:pPr>
  </w:style>
  <w:style w:type="character" w:customStyle="1" w:styleId="FooterChar">
    <w:name w:val="Footer Char"/>
    <w:basedOn w:val="DefaultParagraphFont"/>
    <w:link w:val="Footer"/>
    <w:uiPriority w:val="99"/>
    <w:rsid w:val="00707E60"/>
    <w:rPr>
      <w:lang w:val="es-ES"/>
    </w:rPr>
  </w:style>
  <w:style w:type="paragraph" w:styleId="NoSpacing">
    <w:name w:val="No Spacing"/>
    <w:uiPriority w:val="1"/>
    <w:qFormat/>
    <w:rsid w:val="00707E60"/>
    <w:rPr>
      <w:rFonts w:eastAsiaTheme="minorHAnsi"/>
      <w:kern w:val="2"/>
      <w:sz w:val="22"/>
      <w:szCs w:val="22"/>
      <w:lang w:val="es-CO" w:eastAsia="en-US"/>
      <w14:ligatures w14:val="standardContextual"/>
    </w:rPr>
  </w:style>
  <w:style w:type="character" w:customStyle="1" w:styleId="ListParagraphChar">
    <w:name w:val="List Paragraph Char"/>
    <w:aliases w:val="Numerado informes Char,Bibliografía Tesis Char,Figuras Char,parrafo Char,Bolita Char,Viñeta 4ta Char"/>
    <w:link w:val="ListParagraph"/>
    <w:uiPriority w:val="34"/>
    <w:locked/>
    <w:rsid w:val="00707E60"/>
    <w:rPr>
      <w:lang w:val="es-ES"/>
    </w:rPr>
  </w:style>
  <w:style w:type="character" w:styleId="PageNumber">
    <w:name w:val="page number"/>
    <w:basedOn w:val="DefaultParagraphFont"/>
    <w:uiPriority w:val="99"/>
    <w:semiHidden/>
    <w:unhideWhenUsed/>
    <w:rsid w:val="00707E60"/>
  </w:style>
  <w:style w:type="paragraph" w:customStyle="1" w:styleId="Style1">
    <w:name w:val="Style1"/>
    <w:basedOn w:val="Normal"/>
    <w:qFormat/>
    <w:rsid w:val="00AA7DD4"/>
    <w:pPr>
      <w:spacing w:line="360" w:lineRule="auto"/>
      <w:ind w:left="720" w:hanging="360"/>
      <w:jc w:val="both"/>
    </w:pPr>
    <w:rPr>
      <w:rFonts w:ascii="Aptos" w:hAnsi="Apto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697</Words>
  <Characters>3976</Characters>
  <Application>Microsoft Office Word</Application>
  <DocSecurity>0</DocSecurity>
  <Lines>33</Lines>
  <Paragraphs>9</Paragraphs>
  <ScaleCrop>false</ScaleCrop>
  <Company/>
  <LinksUpToDate>false</LinksUpToDate>
  <CharactersWithSpaces>4664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Herazo Castelblanco</dc:creator>
  <cp:keywords/>
  <dc:description/>
  <cp:lastModifiedBy>Ana Sofia Herazo Castelblanco</cp:lastModifiedBy>
  <cp:revision>20</cp:revision>
  <dcterms:created xsi:type="dcterms:W3CDTF">2025-10-23T17:12:00Z</dcterms:created>
  <dcterms:modified xsi:type="dcterms:W3CDTF">2025-10-24T18:38:00Z</dcterms:modified>
</cp:coreProperties>
</file>