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0FD66E60"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9501F5">
        <w:rPr>
          <w:color w:val="000000" w:themeColor="text1"/>
          <w:sz w:val="44"/>
          <w:szCs w:val="44"/>
        </w:rPr>
        <w:t xml:space="preserve">San </w:t>
      </w:r>
      <w:r w:rsidR="00C431F2">
        <w:rPr>
          <w:color w:val="000000" w:themeColor="text1"/>
          <w:sz w:val="44"/>
          <w:szCs w:val="44"/>
        </w:rPr>
        <w:t>Juan de Urabá</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3E24DB0E" w14:textId="77777777" w:rsidR="00C431F2" w:rsidRPr="00C431F2" w:rsidRDefault="00C431F2" w:rsidP="00C431F2">
      <w:pPr>
        <w:spacing w:line="360" w:lineRule="auto"/>
        <w:jc w:val="both"/>
        <w:rPr>
          <w:rFonts w:ascii="Aptos" w:hAnsi="Aptos" w:cs="Times New Roman"/>
        </w:rPr>
      </w:pPr>
      <w:r w:rsidRPr="00C431F2">
        <w:rPr>
          <w:rFonts w:ascii="Aptos" w:hAnsi="Aptos" w:cs="Times New Roman"/>
        </w:rPr>
        <w:lastRenderedPageBreak/>
        <w:t>El estado actual de su normatividad tributaria se establece en el Acuerdo 010 de 2022.</w:t>
      </w:r>
    </w:p>
    <w:p w14:paraId="26F48FF0" w14:textId="77777777" w:rsidR="00C431F2" w:rsidRPr="00C431F2" w:rsidRDefault="00C431F2" w:rsidP="00C431F2">
      <w:pPr>
        <w:spacing w:line="360" w:lineRule="auto"/>
        <w:jc w:val="both"/>
        <w:rPr>
          <w:rFonts w:ascii="Aptos" w:hAnsi="Aptos" w:cs="Times New Roman"/>
          <w:b/>
          <w:bCs/>
          <w:sz w:val="32"/>
          <w:szCs w:val="32"/>
        </w:rPr>
      </w:pPr>
      <w:r w:rsidRPr="00C431F2">
        <w:rPr>
          <w:rFonts w:ascii="Aptos" w:hAnsi="Aptos" w:cs="Times New Roman"/>
          <w:b/>
          <w:bCs/>
          <w:sz w:val="32"/>
          <w:szCs w:val="32"/>
        </w:rPr>
        <w:t>Hallazgos</w:t>
      </w:r>
    </w:p>
    <w:p w14:paraId="0F42BA97"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DFCE283"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El IPU se reglamenta desde el artículo 14 (autorización legal, definición del impuesto, definición de avalúo y elementos del tributo), citando la Ley 768 de 2002.</w:t>
      </w:r>
    </w:p>
    <w:p w14:paraId="398A8326"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En base gravable se mencionan resoluciones que el texto considera derogadas (p. ej., 2555 de 1980 y 070 de 2011), pendientes de ajuste frente a la actualización referida.</w:t>
      </w:r>
    </w:p>
    <w:p w14:paraId="11D60E31"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Matriz tarifaria por destino económico con tarifas calificadas como altas (10–33 por mil).</w:t>
      </w:r>
    </w:p>
    <w:p w14:paraId="5BEB28EB"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Inmuebles rurales en parcelaciones/fincas de recreo tratados como urbanos para predial; el texto lo estima contrario a la resolución compartida Registro–IGAC (tratamiento habitacional y diferenciación tarifaria).</w:t>
      </w:r>
    </w:p>
    <w:p w14:paraId="678DA545"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Sin estratificación rural, liquidación a tarifa de estrato 1.</w:t>
      </w:r>
    </w:p>
    <w:p w14:paraId="400A4978"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Predios mixtos (urbano/rural): liquidación según mayor extensión.</w:t>
      </w:r>
    </w:p>
    <w:p w14:paraId="65B14EAB"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Tarifa máxima ante uso no autorizado en el POT; el texto considera un desbordamiento competencial para liquidación.</w:t>
      </w:r>
    </w:p>
    <w:p w14:paraId="5E23DA4C"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Áreas de retiro obligatorio de vías (red vial nacional): se prevé compensación del predial; el texto resalta falta de claridad y la necesidad de trabajo con base catastral.</w:t>
      </w:r>
    </w:p>
    <w:p w14:paraId="207A9032"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Limitaciones derivadas de la Ley 1995.</w:t>
      </w:r>
    </w:p>
    <w:p w14:paraId="18FA87F0"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Determinación oficial vía factura (una factura anual); la notificación electrónica podría desbordar el régimen especial.</w:t>
      </w:r>
    </w:p>
    <w:p w14:paraId="5E3DB763"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Beneficio por pronto pago del 15 % (primer trimestre).</w:t>
      </w:r>
    </w:p>
    <w:p w14:paraId="00B12976"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lastRenderedPageBreak/>
        <w:t>Sobretasa ambiental del 1,5 por mil.</w:t>
      </w:r>
    </w:p>
    <w:p w14:paraId="279034D6"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Impuesto compensatorio de resguardos indígenas.</w:t>
      </w:r>
    </w:p>
    <w:p w14:paraId="6247CC95"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Beneficios tributarios por generación de empleo.</w:t>
      </w:r>
    </w:p>
    <w:p w14:paraId="77806979"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Exenciones: iglesias, monumentos nacionales, delegaciones extranjeras, áreas de conservación (aguas, fauna y flora) reglamentadas por el Concejo, y Defensa Civil, con procedimiento.</w:t>
      </w:r>
    </w:p>
    <w:p w14:paraId="145B3A6D" w14:textId="77777777" w:rsidR="00C431F2" w:rsidRPr="00C431F2" w:rsidRDefault="00C431F2" w:rsidP="00C431F2">
      <w:pPr>
        <w:numPr>
          <w:ilvl w:val="0"/>
          <w:numId w:val="37"/>
        </w:numPr>
        <w:spacing w:line="360" w:lineRule="auto"/>
        <w:jc w:val="both"/>
        <w:rPr>
          <w:rFonts w:ascii="Aptos" w:hAnsi="Aptos" w:cs="Times New Roman"/>
        </w:rPr>
      </w:pPr>
      <w:r w:rsidRPr="00C431F2">
        <w:rPr>
          <w:rFonts w:ascii="Aptos" w:hAnsi="Aptos" w:cs="Times New Roman"/>
        </w:rPr>
        <w:t>Sobretasa Bomberil del 3 % sobre el valor liquidado; atender su impacto ante aumentos de facturación.</w:t>
      </w:r>
    </w:p>
    <w:p w14:paraId="5EE03F86" w14:textId="56FE4810" w:rsidR="00C431F2" w:rsidRPr="00C431F2" w:rsidRDefault="00C431F2" w:rsidP="00C431F2">
      <w:pPr>
        <w:numPr>
          <w:ilvl w:val="0"/>
          <w:numId w:val="37"/>
        </w:numPr>
        <w:spacing w:before="100" w:beforeAutospacing="1" w:after="100" w:afterAutospacing="1" w:line="360" w:lineRule="auto"/>
        <w:jc w:val="both"/>
        <w:rPr>
          <w:rFonts w:ascii="Aptos" w:eastAsia="Times New Roman" w:hAnsi="Aptos" w:cs="Times New Roman"/>
          <w:lang w:eastAsia="es-MX"/>
        </w:rPr>
      </w:pPr>
      <w:r w:rsidRPr="00C431F2">
        <w:rPr>
          <w:rFonts w:ascii="Aptos" w:eastAsia="Times New Roman" w:hAnsi="Aptos" w:cs="Times New Roman"/>
          <w:lang w:eastAsia="es-MX"/>
        </w:rPr>
        <w:t xml:space="preserve">Inmuebles de prohibido gravamen y exención ambiental: Se prohíbe gravar con el Impuesto Predial Unificado, por diez (10) años contados desde la entrada en vigencia del acuerdo, los inmuebles definidos legalmente como parques naturales o parques públicos de propiedad de entidades estatales. Adicionalmente, estarán exentas del impuesto predial todas las áreas de conservación de aguas, fauna y flora reglamentadas por el Concejo del Municipio, previo </w:t>
      </w:r>
      <w:proofErr w:type="spellStart"/>
      <w:r w:rsidRPr="00C431F2">
        <w:rPr>
          <w:rFonts w:ascii="Aptos" w:eastAsia="Times New Roman" w:hAnsi="Aptos" w:cs="Times New Roman"/>
          <w:lang w:eastAsia="es-MX"/>
        </w:rPr>
        <w:t>desenglobe</w:t>
      </w:r>
      <w:proofErr w:type="spellEnd"/>
    </w:p>
    <w:p w14:paraId="5BF1CED2" w14:textId="77777777" w:rsidR="00C431F2" w:rsidRPr="00C431F2" w:rsidRDefault="00C431F2" w:rsidP="00C431F2">
      <w:pPr>
        <w:spacing w:line="360" w:lineRule="auto"/>
        <w:jc w:val="both"/>
        <w:rPr>
          <w:rFonts w:ascii="Aptos" w:hAnsi="Aptos" w:cs="Times New Roman"/>
          <w:b/>
          <w:bCs/>
          <w:sz w:val="32"/>
          <w:szCs w:val="32"/>
        </w:rPr>
      </w:pPr>
      <w:r w:rsidRPr="00C431F2">
        <w:rPr>
          <w:rFonts w:ascii="Aptos" w:hAnsi="Aptos" w:cs="Times New Roman"/>
          <w:b/>
          <w:bCs/>
          <w:sz w:val="32"/>
          <w:szCs w:val="32"/>
        </w:rPr>
        <w:t>Recomendaciones</w:t>
      </w:r>
    </w:p>
    <w:p w14:paraId="669831A4" w14:textId="77777777" w:rsidR="00C431F2" w:rsidRPr="00C431F2" w:rsidRDefault="00C431F2" w:rsidP="00C431F2">
      <w:pPr>
        <w:numPr>
          <w:ilvl w:val="0"/>
          <w:numId w:val="38"/>
        </w:numPr>
        <w:spacing w:line="360" w:lineRule="auto"/>
        <w:jc w:val="both"/>
        <w:rPr>
          <w:rFonts w:ascii="Aptos" w:hAnsi="Aptos" w:cs="Times New Roman"/>
        </w:rPr>
      </w:pPr>
      <w:r w:rsidRPr="00C431F2">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77B55B3C" w14:textId="77777777" w:rsidR="00C431F2" w:rsidRPr="00C431F2" w:rsidRDefault="00C431F2" w:rsidP="00C431F2">
      <w:pPr>
        <w:numPr>
          <w:ilvl w:val="0"/>
          <w:numId w:val="38"/>
        </w:numPr>
        <w:spacing w:line="360" w:lineRule="auto"/>
        <w:jc w:val="both"/>
        <w:rPr>
          <w:rFonts w:ascii="Aptos" w:hAnsi="Aptos" w:cs="Times New Roman"/>
        </w:rPr>
      </w:pPr>
      <w:r w:rsidRPr="00C431F2">
        <w:rPr>
          <w:rFonts w:ascii="Aptos" w:hAnsi="Aptos" w:cs="Times New Roman"/>
        </w:rPr>
        <w:t>Actualizar las referencias de base gravable que el propio texto considera derogadas, conforme a la actualización mencionada.</w:t>
      </w:r>
    </w:p>
    <w:p w14:paraId="0379F3E7" w14:textId="77777777" w:rsidR="00C431F2" w:rsidRPr="00C431F2" w:rsidRDefault="00C431F2" w:rsidP="00C431F2">
      <w:pPr>
        <w:numPr>
          <w:ilvl w:val="0"/>
          <w:numId w:val="38"/>
        </w:numPr>
        <w:spacing w:line="360" w:lineRule="auto"/>
        <w:jc w:val="both"/>
        <w:rPr>
          <w:rFonts w:ascii="Aptos" w:hAnsi="Aptos" w:cs="Times New Roman"/>
        </w:rPr>
      </w:pPr>
      <w:r w:rsidRPr="00C431F2">
        <w:rPr>
          <w:rFonts w:ascii="Aptos" w:hAnsi="Aptos" w:cs="Times New Roman"/>
        </w:rPr>
        <w:t>Precisar la compensación de áreas de retiro obligatorio (criterios en base catastral y efectos en la liquidación).</w:t>
      </w:r>
    </w:p>
    <w:p w14:paraId="788E95FE" w14:textId="77777777" w:rsidR="00C431F2" w:rsidRPr="00C431F2" w:rsidRDefault="00C431F2" w:rsidP="00C431F2">
      <w:pPr>
        <w:numPr>
          <w:ilvl w:val="0"/>
          <w:numId w:val="38"/>
        </w:numPr>
        <w:spacing w:line="360" w:lineRule="auto"/>
        <w:jc w:val="both"/>
        <w:rPr>
          <w:rFonts w:ascii="Aptos" w:hAnsi="Aptos" w:cs="Times New Roman"/>
        </w:rPr>
      </w:pPr>
      <w:r w:rsidRPr="00C431F2">
        <w:rPr>
          <w:rFonts w:ascii="Aptos" w:hAnsi="Aptos" w:cs="Times New Roman"/>
        </w:rPr>
        <w:lastRenderedPageBreak/>
        <w:t>Diferenciar el tratamiento de predios rurales (parcelaciones/fincas de recreo) como habitacionales a efectos tarifarios, según lo indicado en el texto sobre la resolución compartida.</w:t>
      </w:r>
    </w:p>
    <w:p w14:paraId="111D3081" w14:textId="77777777" w:rsidR="00C431F2" w:rsidRPr="00C431F2" w:rsidRDefault="00C431F2" w:rsidP="00C431F2">
      <w:pPr>
        <w:numPr>
          <w:ilvl w:val="0"/>
          <w:numId w:val="38"/>
        </w:numPr>
        <w:spacing w:line="360" w:lineRule="auto"/>
        <w:jc w:val="both"/>
        <w:rPr>
          <w:rFonts w:ascii="Aptos" w:hAnsi="Aptos" w:cs="Times New Roman"/>
        </w:rPr>
      </w:pPr>
      <w:r w:rsidRPr="00C431F2">
        <w:rPr>
          <w:rFonts w:ascii="Aptos" w:hAnsi="Aptos" w:cs="Times New Roman"/>
        </w:rPr>
        <w:t>Revisar el rango de tarifas (10–33 por mil) y la tarifa máxima por usos no autorizados en el POT, atendiendo las competencias señaladas en el texto.</w:t>
      </w:r>
    </w:p>
    <w:p w14:paraId="27DA88AD" w14:textId="77777777" w:rsidR="00C431F2" w:rsidRPr="00C431F2" w:rsidRDefault="00C431F2" w:rsidP="00C431F2">
      <w:pPr>
        <w:numPr>
          <w:ilvl w:val="0"/>
          <w:numId w:val="38"/>
        </w:numPr>
        <w:spacing w:line="360" w:lineRule="auto"/>
        <w:jc w:val="both"/>
        <w:rPr>
          <w:rFonts w:ascii="Aptos" w:hAnsi="Aptos" w:cs="Times New Roman"/>
        </w:rPr>
      </w:pPr>
      <w:r w:rsidRPr="00C431F2">
        <w:rPr>
          <w:rFonts w:ascii="Aptos" w:hAnsi="Aptos" w:cs="Times New Roman"/>
        </w:rPr>
        <w:t>Adecuar el mecanismo de notificación de la factura para no desbordar el régimen especial mencionado.</w:t>
      </w:r>
    </w:p>
    <w:p w14:paraId="05BA1717" w14:textId="77777777" w:rsidR="00C431F2" w:rsidRPr="00C431F2" w:rsidRDefault="00C431F2" w:rsidP="00C431F2">
      <w:pPr>
        <w:numPr>
          <w:ilvl w:val="0"/>
          <w:numId w:val="38"/>
        </w:numPr>
        <w:spacing w:line="360" w:lineRule="auto"/>
        <w:jc w:val="both"/>
        <w:rPr>
          <w:rFonts w:ascii="Aptos" w:hAnsi="Aptos" w:cs="Times New Roman"/>
        </w:rPr>
      </w:pPr>
      <w:r w:rsidRPr="00C431F2">
        <w:rPr>
          <w:rFonts w:ascii="Aptos" w:hAnsi="Aptos" w:cs="Times New Roman"/>
        </w:rPr>
        <w:t>Establecer límites y reglas de gradualidad por rezago y por procesos de actualización catastral, con topes anuales, metodología de aplicación y régimen transitorio, para dar certeza a administración y contribuyentes (derivado de las varias referencias a actualizaciones/impactos sin reglas explícitas).</w:t>
      </w:r>
    </w:p>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5DA7" w14:textId="77777777" w:rsidR="00E85012" w:rsidRDefault="00E85012" w:rsidP="00707E60">
      <w:pPr>
        <w:spacing w:after="0" w:line="240" w:lineRule="auto"/>
      </w:pPr>
      <w:r>
        <w:separator/>
      </w:r>
    </w:p>
  </w:endnote>
  <w:endnote w:type="continuationSeparator" w:id="0">
    <w:p w14:paraId="40871055" w14:textId="77777777" w:rsidR="00E85012" w:rsidRDefault="00E85012"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D8C71" w14:textId="77777777" w:rsidR="00E85012" w:rsidRDefault="00E85012" w:rsidP="00707E60">
      <w:pPr>
        <w:spacing w:after="0" w:line="240" w:lineRule="auto"/>
      </w:pPr>
      <w:r>
        <w:separator/>
      </w:r>
    </w:p>
  </w:footnote>
  <w:footnote w:type="continuationSeparator" w:id="0">
    <w:p w14:paraId="0AC3F1D0" w14:textId="77777777" w:rsidR="00E85012" w:rsidRDefault="00E85012"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B36CEA1"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9501F5">
                            <w:rPr>
                              <w:color w:val="000000" w:themeColor="text1"/>
                              <w:sz w:val="28"/>
                              <w:szCs w:val="28"/>
                            </w:rPr>
                            <w:t xml:space="preserve">San </w:t>
                          </w:r>
                          <w:r w:rsidR="00C431F2">
                            <w:rPr>
                              <w:color w:val="000000" w:themeColor="text1"/>
                              <w:sz w:val="28"/>
                              <w:szCs w:val="28"/>
                            </w:rPr>
                            <w:t xml:space="preserve">Juan </w:t>
                          </w:r>
                          <w:r w:rsidR="009501F5">
                            <w:rPr>
                              <w:color w:val="000000" w:themeColor="text1"/>
                              <w:sz w:val="28"/>
                              <w:szCs w:val="28"/>
                            </w:rPr>
                            <w:t>de Urabá</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B36CEA1"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9501F5">
                      <w:rPr>
                        <w:color w:val="000000" w:themeColor="text1"/>
                        <w:sz w:val="28"/>
                        <w:szCs w:val="28"/>
                      </w:rPr>
                      <w:t xml:space="preserve">San </w:t>
                    </w:r>
                    <w:r w:rsidR="00C431F2">
                      <w:rPr>
                        <w:color w:val="000000" w:themeColor="text1"/>
                        <w:sz w:val="28"/>
                        <w:szCs w:val="28"/>
                      </w:rPr>
                      <w:t xml:space="preserve">Juan </w:t>
                    </w:r>
                    <w:r w:rsidR="009501F5">
                      <w:rPr>
                        <w:color w:val="000000" w:themeColor="text1"/>
                        <w:sz w:val="28"/>
                        <w:szCs w:val="28"/>
                      </w:rPr>
                      <w:t>de Urabá</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FC0CEF"/>
    <w:multiLevelType w:val="hybridMultilevel"/>
    <w:tmpl w:val="AB4C10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6C70384"/>
    <w:multiLevelType w:val="multilevel"/>
    <w:tmpl w:val="118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2B2877"/>
    <w:multiLevelType w:val="hybridMultilevel"/>
    <w:tmpl w:val="135AC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EA7D8E"/>
    <w:multiLevelType w:val="multilevel"/>
    <w:tmpl w:val="E9D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5B1FDE"/>
    <w:multiLevelType w:val="multilevel"/>
    <w:tmpl w:val="838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4B03A6"/>
    <w:multiLevelType w:val="multilevel"/>
    <w:tmpl w:val="4B4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8"/>
  </w:num>
  <w:num w:numId="2" w16cid:durableId="1017347282">
    <w:abstractNumId w:val="16"/>
  </w:num>
  <w:num w:numId="3" w16cid:durableId="44450645">
    <w:abstractNumId w:val="28"/>
  </w:num>
  <w:num w:numId="4" w16cid:durableId="1953855267">
    <w:abstractNumId w:val="0"/>
  </w:num>
  <w:num w:numId="5" w16cid:durableId="279457733">
    <w:abstractNumId w:val="10"/>
  </w:num>
  <w:num w:numId="6" w16cid:durableId="829055416">
    <w:abstractNumId w:val="1"/>
  </w:num>
  <w:num w:numId="7" w16cid:durableId="1974747392">
    <w:abstractNumId w:val="6"/>
  </w:num>
  <w:num w:numId="8" w16cid:durableId="1342120387">
    <w:abstractNumId w:val="22"/>
  </w:num>
  <w:num w:numId="9" w16cid:durableId="350257001">
    <w:abstractNumId w:val="5"/>
  </w:num>
  <w:num w:numId="10" w16cid:durableId="1078140204">
    <w:abstractNumId w:val="11"/>
  </w:num>
  <w:num w:numId="11" w16cid:durableId="1792938771">
    <w:abstractNumId w:val="12"/>
  </w:num>
  <w:num w:numId="12" w16cid:durableId="1526560268">
    <w:abstractNumId w:val="32"/>
  </w:num>
  <w:num w:numId="13" w16cid:durableId="684139451">
    <w:abstractNumId w:val="34"/>
  </w:num>
  <w:num w:numId="14" w16cid:durableId="2066485375">
    <w:abstractNumId w:val="35"/>
  </w:num>
  <w:num w:numId="15" w16cid:durableId="1048799774">
    <w:abstractNumId w:val="4"/>
  </w:num>
  <w:num w:numId="16" w16cid:durableId="763765178">
    <w:abstractNumId w:val="18"/>
  </w:num>
  <w:num w:numId="17" w16cid:durableId="312298011">
    <w:abstractNumId w:val="26"/>
  </w:num>
  <w:num w:numId="18" w16cid:durableId="1720469911">
    <w:abstractNumId w:val="20"/>
  </w:num>
  <w:num w:numId="19" w16cid:durableId="435371494">
    <w:abstractNumId w:val="23"/>
  </w:num>
  <w:num w:numId="20" w16cid:durableId="295719448">
    <w:abstractNumId w:val="24"/>
  </w:num>
  <w:num w:numId="21" w16cid:durableId="1577745992">
    <w:abstractNumId w:val="13"/>
  </w:num>
  <w:num w:numId="22" w16cid:durableId="1267925568">
    <w:abstractNumId w:val="30"/>
  </w:num>
  <w:num w:numId="23" w16cid:durableId="1861967186">
    <w:abstractNumId w:val="7"/>
  </w:num>
  <w:num w:numId="24" w16cid:durableId="601374337">
    <w:abstractNumId w:val="31"/>
  </w:num>
  <w:num w:numId="25" w16cid:durableId="1162700760">
    <w:abstractNumId w:val="33"/>
  </w:num>
  <w:num w:numId="26" w16cid:durableId="581332385">
    <w:abstractNumId w:val="17"/>
  </w:num>
  <w:num w:numId="27" w16cid:durableId="423887808">
    <w:abstractNumId w:val="29"/>
  </w:num>
  <w:num w:numId="28" w16cid:durableId="1186863597">
    <w:abstractNumId w:val="37"/>
  </w:num>
  <w:num w:numId="29" w16cid:durableId="340359362">
    <w:abstractNumId w:val="2"/>
  </w:num>
  <w:num w:numId="30" w16cid:durableId="1619264905">
    <w:abstractNumId w:val="3"/>
  </w:num>
  <w:num w:numId="31" w16cid:durableId="97989699">
    <w:abstractNumId w:val="9"/>
  </w:num>
  <w:num w:numId="32" w16cid:durableId="55206863">
    <w:abstractNumId w:val="21"/>
  </w:num>
  <w:num w:numId="33" w16cid:durableId="1697734897">
    <w:abstractNumId w:val="19"/>
  </w:num>
  <w:num w:numId="34" w16cid:durableId="720978602">
    <w:abstractNumId w:val="14"/>
  </w:num>
  <w:num w:numId="35" w16cid:durableId="1909030509">
    <w:abstractNumId w:val="25"/>
  </w:num>
  <w:num w:numId="36" w16cid:durableId="1979188356">
    <w:abstractNumId w:val="36"/>
  </w:num>
  <w:num w:numId="37" w16cid:durableId="1274362992">
    <w:abstractNumId w:val="27"/>
  </w:num>
  <w:num w:numId="38" w16cid:durableId="2088061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84B98"/>
    <w:rsid w:val="000D7615"/>
    <w:rsid w:val="00120797"/>
    <w:rsid w:val="00134527"/>
    <w:rsid w:val="001C6F8E"/>
    <w:rsid w:val="001E6E73"/>
    <w:rsid w:val="00211E44"/>
    <w:rsid w:val="00231736"/>
    <w:rsid w:val="0023618C"/>
    <w:rsid w:val="0031580C"/>
    <w:rsid w:val="0034535B"/>
    <w:rsid w:val="003650D0"/>
    <w:rsid w:val="003A7CEA"/>
    <w:rsid w:val="003E2241"/>
    <w:rsid w:val="003E2F94"/>
    <w:rsid w:val="004107CA"/>
    <w:rsid w:val="005422DF"/>
    <w:rsid w:val="00544342"/>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813F67"/>
    <w:rsid w:val="00844CC8"/>
    <w:rsid w:val="00845F02"/>
    <w:rsid w:val="00855468"/>
    <w:rsid w:val="00933720"/>
    <w:rsid w:val="009501F5"/>
    <w:rsid w:val="009D1788"/>
    <w:rsid w:val="009D1F9E"/>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31F2"/>
    <w:rsid w:val="00C4509C"/>
    <w:rsid w:val="00C942B0"/>
    <w:rsid w:val="00D37EF2"/>
    <w:rsid w:val="00DB14E5"/>
    <w:rsid w:val="00DD0016"/>
    <w:rsid w:val="00E20762"/>
    <w:rsid w:val="00E20840"/>
    <w:rsid w:val="00E608BE"/>
    <w:rsid w:val="00E85012"/>
    <w:rsid w:val="00F27231"/>
    <w:rsid w:val="00F65205"/>
    <w:rsid w:val="00F92AA2"/>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639</Words>
  <Characters>3645</Characters>
  <Application>Microsoft Office Word</Application>
  <DocSecurity>0</DocSecurity>
  <Lines>30</Lines>
  <Paragraphs>8</Paragraphs>
  <ScaleCrop>false</ScaleCrop>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22</cp:revision>
  <dcterms:created xsi:type="dcterms:W3CDTF">2025-10-23T17:12:00Z</dcterms:created>
  <dcterms:modified xsi:type="dcterms:W3CDTF">2025-10-24T18:21:00Z</dcterms:modified>
</cp:coreProperties>
</file>