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2F304F1F"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FA454C">
        <w:rPr>
          <w:color w:val="000000" w:themeColor="text1"/>
          <w:sz w:val="44"/>
          <w:szCs w:val="44"/>
        </w:rPr>
        <w:t>San Pedro de los Milagros</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6CF24044" w14:textId="77777777" w:rsidR="00FA454C" w:rsidRPr="00FA454C" w:rsidRDefault="00FA454C" w:rsidP="00FA454C">
      <w:pPr>
        <w:spacing w:line="360" w:lineRule="auto"/>
        <w:jc w:val="both"/>
        <w:rPr>
          <w:rFonts w:ascii="Aptos" w:hAnsi="Aptos" w:cs="Times New Roman"/>
        </w:rPr>
      </w:pPr>
      <w:r w:rsidRPr="00FA454C">
        <w:rPr>
          <w:rFonts w:ascii="Aptos" w:hAnsi="Aptos" w:cs="Times New Roman"/>
        </w:rPr>
        <w:lastRenderedPageBreak/>
        <w:t>El estado actual de su normatividad tributaria se establece en el acuerdo: 45 de 2022.</w:t>
      </w:r>
    </w:p>
    <w:p w14:paraId="24986D3C" w14:textId="77777777" w:rsidR="00FA454C" w:rsidRPr="00FA454C" w:rsidRDefault="00FA454C" w:rsidP="00FA454C">
      <w:pPr>
        <w:spacing w:line="360" w:lineRule="auto"/>
        <w:jc w:val="both"/>
        <w:rPr>
          <w:rFonts w:ascii="Aptos" w:hAnsi="Aptos" w:cs="Times New Roman"/>
          <w:b/>
          <w:bCs/>
          <w:sz w:val="32"/>
          <w:szCs w:val="32"/>
        </w:rPr>
      </w:pPr>
      <w:r w:rsidRPr="00FA454C">
        <w:rPr>
          <w:rFonts w:ascii="Aptos" w:hAnsi="Aptos" w:cs="Times New Roman"/>
          <w:b/>
          <w:bCs/>
          <w:sz w:val="32"/>
          <w:szCs w:val="32"/>
        </w:rPr>
        <w:t>Hallazgos</w:t>
      </w:r>
    </w:p>
    <w:p w14:paraId="06A36C4B" w14:textId="77777777" w:rsidR="00FA454C" w:rsidRPr="00FA454C" w:rsidRDefault="00FA454C" w:rsidP="00FA454C">
      <w:pPr>
        <w:numPr>
          <w:ilvl w:val="0"/>
          <w:numId w:val="21"/>
        </w:numPr>
        <w:spacing w:line="360" w:lineRule="auto"/>
        <w:jc w:val="both"/>
        <w:rPr>
          <w:rFonts w:ascii="Aptos" w:hAnsi="Aptos" w:cs="Times New Roman"/>
        </w:rPr>
      </w:pPr>
      <w:r w:rsidRPr="00FA454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467E3663" w14:textId="77777777" w:rsidR="00FA454C" w:rsidRPr="00FA454C" w:rsidRDefault="00FA454C" w:rsidP="00FA454C">
      <w:pPr>
        <w:numPr>
          <w:ilvl w:val="0"/>
          <w:numId w:val="21"/>
        </w:numPr>
        <w:spacing w:line="360" w:lineRule="auto"/>
        <w:jc w:val="both"/>
        <w:rPr>
          <w:rFonts w:ascii="Aptos" w:hAnsi="Aptos" w:cs="Times New Roman"/>
        </w:rPr>
      </w:pPr>
      <w:r w:rsidRPr="00FA454C">
        <w:rPr>
          <w:rFonts w:ascii="Aptos" w:hAnsi="Aptos" w:cs="Times New Roman"/>
        </w:rPr>
        <w:t>Marco del IPU: se regula desde el artículo 13; el estatuto define autorización legal, carácter real, avalúo y elementos del tributo; tarifas entre 5‰ y 16‰.</w:t>
      </w:r>
    </w:p>
    <w:p w14:paraId="72F95631" w14:textId="77777777" w:rsidR="00FA454C" w:rsidRPr="00FA454C" w:rsidRDefault="00FA454C" w:rsidP="00FA454C">
      <w:pPr>
        <w:numPr>
          <w:ilvl w:val="0"/>
          <w:numId w:val="21"/>
        </w:numPr>
        <w:spacing w:line="360" w:lineRule="auto"/>
        <w:jc w:val="both"/>
        <w:rPr>
          <w:rFonts w:ascii="Aptos" w:hAnsi="Aptos" w:cs="Times New Roman"/>
        </w:rPr>
      </w:pPr>
      <w:r w:rsidRPr="00FA454C">
        <w:rPr>
          <w:rFonts w:ascii="Aptos" w:hAnsi="Aptos" w:cs="Times New Roman"/>
        </w:rPr>
        <w:t>Compensación del IPU por retiro obligatorio en vías públicas: la figura presenta riesgo fiscal y requiere mayor claridad en su proceso de liquidación.</w:t>
      </w:r>
    </w:p>
    <w:p w14:paraId="626C9B06" w14:textId="77777777" w:rsidR="00FA454C" w:rsidRPr="00FA454C" w:rsidRDefault="00FA454C" w:rsidP="00FA454C">
      <w:pPr>
        <w:numPr>
          <w:ilvl w:val="0"/>
          <w:numId w:val="21"/>
        </w:numPr>
        <w:spacing w:line="360" w:lineRule="auto"/>
        <w:jc w:val="both"/>
        <w:rPr>
          <w:rFonts w:ascii="Aptos" w:hAnsi="Aptos" w:cs="Times New Roman"/>
        </w:rPr>
      </w:pPr>
      <w:r w:rsidRPr="00FA454C">
        <w:rPr>
          <w:rFonts w:ascii="Aptos" w:hAnsi="Aptos" w:cs="Times New Roman"/>
        </w:rPr>
        <w:t>Exenciones: corporaciones autónomas, áreas de conservación de aguas, fauna y flora, y bosque nativo. Cobro trimestral del impuesto.</w:t>
      </w:r>
    </w:p>
    <w:p w14:paraId="7B840D5E" w14:textId="77777777" w:rsidR="00FA454C" w:rsidRPr="00FA454C" w:rsidRDefault="00FA454C" w:rsidP="00FA454C">
      <w:pPr>
        <w:numPr>
          <w:ilvl w:val="0"/>
          <w:numId w:val="21"/>
        </w:numPr>
        <w:spacing w:line="360" w:lineRule="auto"/>
        <w:jc w:val="both"/>
        <w:rPr>
          <w:rFonts w:ascii="Aptos" w:hAnsi="Aptos" w:cs="Times New Roman"/>
        </w:rPr>
      </w:pPr>
      <w:r w:rsidRPr="00FA454C">
        <w:rPr>
          <w:rFonts w:ascii="Aptos" w:hAnsi="Aptos" w:cs="Times New Roman"/>
        </w:rPr>
        <w:t>Límites al crecimiento: se adoptan los de la Ley 1995 de 2019 y se crean nuevas categorías que establecen que el incremento del IPU no puede superar el 100 % para viviendas de estratos 1–3 con avalúos ≤ 3.328 UVT y para viviendas de los mismos estratos que no superen 135 SMMLV.</w:t>
      </w:r>
    </w:p>
    <w:p w14:paraId="1401C756" w14:textId="77777777" w:rsidR="00FA454C" w:rsidRPr="00FA454C" w:rsidRDefault="00FA454C" w:rsidP="00FA454C">
      <w:pPr>
        <w:numPr>
          <w:ilvl w:val="0"/>
          <w:numId w:val="21"/>
        </w:numPr>
        <w:spacing w:line="360" w:lineRule="auto"/>
        <w:rPr>
          <w:rFonts w:ascii="Aptos" w:hAnsi="Aptos" w:cs="Times New Roman"/>
        </w:rPr>
      </w:pPr>
      <w:r w:rsidRPr="00FA454C">
        <w:rPr>
          <w:rFonts w:ascii="Aptos" w:hAnsi="Aptos" w:cs="Times New Roman"/>
        </w:rPr>
        <w:t>Sobretasas:</w:t>
      </w:r>
      <w:r w:rsidRPr="00FA454C">
        <w:rPr>
          <w:rFonts w:ascii="Aptos" w:hAnsi="Aptos" w:cs="Times New Roman"/>
        </w:rPr>
        <w:br/>
        <w:t>– Ambiental: 15‰ sobre el avalúo catastral.</w:t>
      </w:r>
      <w:r w:rsidRPr="00FA454C">
        <w:rPr>
          <w:rFonts w:ascii="Aptos" w:hAnsi="Aptos" w:cs="Times New Roman"/>
        </w:rPr>
        <w:br/>
        <w:t>– Tarifa especial: 5‰ para proyectos de entidades sindicales, ONG, bomberos y entidades de educación y seguridad ciudadana.</w:t>
      </w:r>
      <w:r w:rsidRPr="00FA454C">
        <w:rPr>
          <w:rFonts w:ascii="Aptos" w:hAnsi="Aptos" w:cs="Times New Roman"/>
        </w:rPr>
        <w:br/>
        <w:t>– Alumbrado público: 1‰ para lotes urbanizados no construidos o edificados.</w:t>
      </w:r>
      <w:r w:rsidRPr="00FA454C">
        <w:rPr>
          <w:rFonts w:ascii="Aptos" w:hAnsi="Aptos" w:cs="Times New Roman"/>
        </w:rPr>
        <w:br/>
        <w:t>–Bomberil: 0,2‰ sobre el avalúo catastral.</w:t>
      </w:r>
      <w:r w:rsidRPr="00FA454C">
        <w:rPr>
          <w:rFonts w:ascii="Aptos" w:hAnsi="Aptos" w:cs="Times New Roman"/>
        </w:rPr>
        <w:br/>
        <w:t>– Ausencia de límites de incremento para alumbrado y bomberil ante actualización/rezago catastral, con riesgo de incrementos significativos en facturación.</w:t>
      </w:r>
    </w:p>
    <w:p w14:paraId="400D8A3D" w14:textId="02C9E0C0" w:rsidR="00FA454C" w:rsidRPr="00FA454C" w:rsidRDefault="00FA454C" w:rsidP="00FA454C">
      <w:pPr>
        <w:numPr>
          <w:ilvl w:val="0"/>
          <w:numId w:val="21"/>
        </w:numPr>
        <w:spacing w:line="360" w:lineRule="auto"/>
        <w:jc w:val="both"/>
        <w:rPr>
          <w:rFonts w:ascii="Aptos" w:hAnsi="Aptos" w:cs="Times New Roman"/>
        </w:rPr>
      </w:pPr>
      <w:r w:rsidRPr="00FA454C">
        <w:rPr>
          <w:rFonts w:ascii="Aptos" w:hAnsi="Aptos" w:cs="Times New Roman"/>
        </w:rPr>
        <w:t xml:space="preserve">Se encuentran exentos del pago del IPU: </w:t>
      </w:r>
      <w:r w:rsidRPr="00FA454C">
        <w:rPr>
          <w:rFonts w:ascii="Aptos" w:hAnsi="Aptos" w:cs="Times New Roman"/>
          <w:b/>
          <w:bCs/>
        </w:rPr>
        <w:t xml:space="preserve">A. </w:t>
      </w:r>
      <w:r w:rsidRPr="00FA454C">
        <w:rPr>
          <w:rFonts w:ascii="Aptos" w:hAnsi="Aptos" w:cs="Times New Roman"/>
        </w:rPr>
        <w:t xml:space="preserve">Los inmuebles de propiedad de la Corporaciones Autónomas, destinados a la conservación de hoyas, laderas, escarpas, canales y </w:t>
      </w:r>
      <w:r w:rsidRPr="00FA454C">
        <w:rPr>
          <w:rFonts w:ascii="Aptos" w:hAnsi="Aptos" w:cs="Times New Roman"/>
        </w:rPr>
        <w:lastRenderedPageBreak/>
        <w:t xml:space="preserve">conducción de aguas, embalses, colectores de alcantarillado, tanques y plantas de purificación de aguas residuales. </w:t>
      </w:r>
      <w:r w:rsidRPr="00FA454C">
        <w:rPr>
          <w:rFonts w:ascii="Aptos" w:hAnsi="Aptos" w:cs="Times New Roman"/>
          <w:b/>
          <w:bCs/>
        </w:rPr>
        <w:t xml:space="preserve">B. </w:t>
      </w:r>
      <w:r w:rsidRPr="00FA454C">
        <w:rPr>
          <w:rFonts w:ascii="Aptos" w:hAnsi="Aptos" w:cs="Times New Roman"/>
        </w:rPr>
        <w:t xml:space="preserve">Todas las áreas de conservación de aguas, fauna y flora reglamentadas por el Concejo Municipal. </w:t>
      </w:r>
      <w:r w:rsidRPr="00FA454C">
        <w:rPr>
          <w:rFonts w:ascii="Aptos" w:hAnsi="Aptos" w:cs="Times New Roman"/>
          <w:b/>
          <w:bCs/>
        </w:rPr>
        <w:t xml:space="preserve">C. </w:t>
      </w:r>
      <w:r w:rsidRPr="00FA454C">
        <w:rPr>
          <w:rFonts w:ascii="Aptos" w:hAnsi="Aptos" w:cs="Times New Roman"/>
        </w:rPr>
        <w:t>Los predios con áreas de bosque nativo y protección de microcuencas sin importar su extensión.</w:t>
      </w:r>
    </w:p>
    <w:p w14:paraId="627D12A9" w14:textId="77777777" w:rsidR="00FA454C" w:rsidRPr="00FA454C" w:rsidRDefault="00FA454C" w:rsidP="00FA454C">
      <w:pPr>
        <w:spacing w:line="360" w:lineRule="auto"/>
        <w:jc w:val="both"/>
        <w:rPr>
          <w:rFonts w:ascii="Aptos" w:hAnsi="Aptos" w:cs="Times New Roman"/>
          <w:b/>
          <w:bCs/>
          <w:sz w:val="32"/>
          <w:szCs w:val="32"/>
        </w:rPr>
      </w:pPr>
      <w:r w:rsidRPr="00FA454C">
        <w:rPr>
          <w:rFonts w:ascii="Aptos" w:hAnsi="Aptos" w:cs="Times New Roman"/>
          <w:b/>
          <w:bCs/>
          <w:sz w:val="32"/>
          <w:szCs w:val="32"/>
        </w:rPr>
        <w:t>Recomendaciones</w:t>
      </w:r>
    </w:p>
    <w:p w14:paraId="7341C8B0" w14:textId="77777777" w:rsidR="00FA454C" w:rsidRPr="00FA454C" w:rsidRDefault="00FA454C" w:rsidP="00FA454C">
      <w:pPr>
        <w:numPr>
          <w:ilvl w:val="0"/>
          <w:numId w:val="22"/>
        </w:numPr>
        <w:spacing w:line="360" w:lineRule="auto"/>
        <w:jc w:val="both"/>
        <w:rPr>
          <w:rFonts w:ascii="Aptos" w:hAnsi="Aptos" w:cs="Times New Roman"/>
        </w:rPr>
      </w:pPr>
      <w:r w:rsidRPr="00FA454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DBD0C56" w14:textId="77777777" w:rsidR="00FA454C" w:rsidRPr="00FA454C" w:rsidRDefault="00FA454C" w:rsidP="00FA454C">
      <w:pPr>
        <w:numPr>
          <w:ilvl w:val="0"/>
          <w:numId w:val="22"/>
        </w:numPr>
        <w:spacing w:line="360" w:lineRule="auto"/>
        <w:jc w:val="both"/>
        <w:rPr>
          <w:rFonts w:ascii="Aptos" w:hAnsi="Aptos" w:cs="Times New Roman"/>
        </w:rPr>
      </w:pPr>
      <w:r w:rsidRPr="00FA454C">
        <w:rPr>
          <w:rFonts w:ascii="Aptos" w:hAnsi="Aptos" w:cs="Times New Roman"/>
        </w:rPr>
        <w:t>Revisar y clarificar la compensación del IPU por retiro obligatorio en vías públicas, precisando reglas de liquidación y supuestos de procedencia para mitigar riesgos fiscales.</w:t>
      </w:r>
    </w:p>
    <w:p w14:paraId="188F1796" w14:textId="77777777" w:rsidR="00FA454C" w:rsidRPr="00FA454C" w:rsidRDefault="00FA454C" w:rsidP="00FA454C">
      <w:pPr>
        <w:numPr>
          <w:ilvl w:val="0"/>
          <w:numId w:val="22"/>
        </w:numPr>
        <w:spacing w:line="360" w:lineRule="auto"/>
        <w:jc w:val="both"/>
        <w:rPr>
          <w:rFonts w:ascii="Aptos" w:hAnsi="Aptos" w:cs="Times New Roman"/>
        </w:rPr>
      </w:pPr>
      <w:r w:rsidRPr="00FA454C">
        <w:rPr>
          <w:rFonts w:ascii="Aptos" w:hAnsi="Aptos" w:cs="Times New Roman"/>
        </w:rPr>
        <w:t>Establecer límites y reglas de gradualidad para las sobretasas de alumbrado público y bomberil cuando su determinación dependa del avalúo catastral, a fin de prevenir variaciones desproporcionadas por actualización/rezago.</w:t>
      </w:r>
    </w:p>
    <w:p w14:paraId="44888EE3" w14:textId="77777777" w:rsidR="00FA454C" w:rsidRPr="00FA454C" w:rsidRDefault="00FA454C" w:rsidP="00FA454C">
      <w:pPr>
        <w:numPr>
          <w:ilvl w:val="0"/>
          <w:numId w:val="22"/>
        </w:numPr>
        <w:spacing w:line="360" w:lineRule="auto"/>
        <w:jc w:val="both"/>
        <w:rPr>
          <w:rFonts w:ascii="Aptos" w:hAnsi="Aptos" w:cs="Times New Roman"/>
        </w:rPr>
      </w:pPr>
      <w:r w:rsidRPr="00FA454C">
        <w:rPr>
          <w:rFonts w:ascii="Aptos" w:hAnsi="Aptos" w:cs="Times New Roman"/>
        </w:rPr>
        <w:t>Analizar el impacto fiscal de las nuevas categorías de límites de crecimiento (100 % para estratos 1–3 bajo los umbrales señalados) para asegurar sostenibilidad y coherencia del régimen.</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A8ADA" w14:textId="77777777" w:rsidR="007C2E1E" w:rsidRDefault="007C2E1E" w:rsidP="00707E60">
      <w:pPr>
        <w:spacing w:after="0" w:line="240" w:lineRule="auto"/>
      </w:pPr>
      <w:r>
        <w:separator/>
      </w:r>
    </w:p>
  </w:endnote>
  <w:endnote w:type="continuationSeparator" w:id="0">
    <w:p w14:paraId="2DDCD2C8" w14:textId="77777777" w:rsidR="007C2E1E" w:rsidRDefault="007C2E1E"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1AA80" w14:textId="77777777" w:rsidR="007C2E1E" w:rsidRDefault="007C2E1E" w:rsidP="00707E60">
      <w:pPr>
        <w:spacing w:after="0" w:line="240" w:lineRule="auto"/>
      </w:pPr>
      <w:r>
        <w:separator/>
      </w:r>
    </w:p>
  </w:footnote>
  <w:footnote w:type="continuationSeparator" w:id="0">
    <w:p w14:paraId="0879EFC3" w14:textId="77777777" w:rsidR="007C2E1E" w:rsidRDefault="007C2E1E"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EE520FC"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FA454C">
                            <w:rPr>
                              <w:color w:val="000000" w:themeColor="text1"/>
                              <w:sz w:val="28"/>
                              <w:szCs w:val="28"/>
                            </w:rPr>
                            <w:t>San Pedro de los Milagros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EE520FC"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FA454C">
                      <w:rPr>
                        <w:color w:val="000000" w:themeColor="text1"/>
                        <w:sz w:val="28"/>
                        <w:szCs w:val="28"/>
                      </w:rPr>
                      <w:t>San Pedro de los Milagros</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5"/>
  </w:num>
  <w:num w:numId="2" w16cid:durableId="1017347282">
    <w:abstractNumId w:val="10"/>
  </w:num>
  <w:num w:numId="3" w16cid:durableId="44450645">
    <w:abstractNumId w:val="17"/>
  </w:num>
  <w:num w:numId="4" w16cid:durableId="1953855267">
    <w:abstractNumId w:val="0"/>
  </w:num>
  <w:num w:numId="5" w16cid:durableId="279457733">
    <w:abstractNumId w:val="6"/>
  </w:num>
  <w:num w:numId="6" w16cid:durableId="829055416">
    <w:abstractNumId w:val="1"/>
  </w:num>
  <w:num w:numId="7" w16cid:durableId="1974747392">
    <w:abstractNumId w:val="4"/>
  </w:num>
  <w:num w:numId="8" w16cid:durableId="1342120387">
    <w:abstractNumId w:val="13"/>
  </w:num>
  <w:num w:numId="9" w16cid:durableId="350257001">
    <w:abstractNumId w:val="3"/>
  </w:num>
  <w:num w:numId="10" w16cid:durableId="1078140204">
    <w:abstractNumId w:val="7"/>
  </w:num>
  <w:num w:numId="11" w16cid:durableId="1792938771">
    <w:abstractNumId w:val="8"/>
  </w:num>
  <w:num w:numId="12" w16cid:durableId="1526560268">
    <w:abstractNumId w:val="19"/>
  </w:num>
  <w:num w:numId="13" w16cid:durableId="684139451">
    <w:abstractNumId w:val="20"/>
  </w:num>
  <w:num w:numId="14" w16cid:durableId="2066485375">
    <w:abstractNumId w:val="21"/>
  </w:num>
  <w:num w:numId="15" w16cid:durableId="1048799774">
    <w:abstractNumId w:val="2"/>
  </w:num>
  <w:num w:numId="16" w16cid:durableId="763765178">
    <w:abstractNumId w:val="11"/>
  </w:num>
  <w:num w:numId="17" w16cid:durableId="312298011">
    <w:abstractNumId w:val="16"/>
  </w:num>
  <w:num w:numId="18" w16cid:durableId="1720469911">
    <w:abstractNumId w:val="12"/>
  </w:num>
  <w:num w:numId="19" w16cid:durableId="435371494">
    <w:abstractNumId w:val="14"/>
  </w:num>
  <w:num w:numId="20" w16cid:durableId="295719448">
    <w:abstractNumId w:val="15"/>
  </w:num>
  <w:num w:numId="21" w16cid:durableId="1577745992">
    <w:abstractNumId w:val="9"/>
  </w:num>
  <w:num w:numId="22" w16cid:durableId="12679255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3E2F94"/>
    <w:rsid w:val="004107CA"/>
    <w:rsid w:val="005422DF"/>
    <w:rsid w:val="005C3FCA"/>
    <w:rsid w:val="005D08ED"/>
    <w:rsid w:val="005F7A75"/>
    <w:rsid w:val="00605B4C"/>
    <w:rsid w:val="006348C8"/>
    <w:rsid w:val="00665846"/>
    <w:rsid w:val="006A249B"/>
    <w:rsid w:val="006A428E"/>
    <w:rsid w:val="00701CC9"/>
    <w:rsid w:val="00707E60"/>
    <w:rsid w:val="00723620"/>
    <w:rsid w:val="007C2E1E"/>
    <w:rsid w:val="00813F67"/>
    <w:rsid w:val="00844CC8"/>
    <w:rsid w:val="00845F02"/>
    <w:rsid w:val="00855468"/>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13</cp:revision>
  <dcterms:created xsi:type="dcterms:W3CDTF">2025-10-23T17:12:00Z</dcterms:created>
  <dcterms:modified xsi:type="dcterms:W3CDTF">2025-10-24T17:56:00Z</dcterms:modified>
</cp:coreProperties>
</file>