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6E307D4C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B20A83">
        <w:rPr>
          <w:color w:val="000000" w:themeColor="text1"/>
          <w:sz w:val="44"/>
          <w:szCs w:val="44"/>
        </w:rPr>
        <w:t>Santa Fe de Antioquia</w:t>
      </w:r>
      <w:r w:rsidRPr="00707E60">
        <w:rPr>
          <w:color w:val="000000" w:themeColor="text1"/>
          <w:sz w:val="44"/>
          <w:szCs w:val="44"/>
        </w:rPr>
        <w:t xml:space="preserve"> 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113B2CD9" w14:textId="77777777" w:rsidR="00FD1684" w:rsidRPr="00FD1684" w:rsidRDefault="00FD1684" w:rsidP="00FD1684">
      <w:p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lastRenderedPageBreak/>
        <w:t>El estado actual de su normatividad tributaria se establece en el Acuerdo 009 de 2022.</w:t>
      </w:r>
    </w:p>
    <w:p w14:paraId="26343C2D" w14:textId="77777777" w:rsidR="00FD1684" w:rsidRPr="00FD1684" w:rsidRDefault="00FD1684" w:rsidP="00FD1684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FD1684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3CF55ECB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La tabla de destinos económicos requiere actualización a la versión 2025 adoptada por la autoridad catastral departamental, para armonizar con el modelo LADM-COL vigente; de lo contrario, quedan vacíos tarifarios frente a nuevas destinaciones.</w:t>
      </w:r>
    </w:p>
    <w:p w14:paraId="2C42606C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La matriz tarifaria se define por destinos y subrangos de avalúo; las tarifas ordinarias inician en 5×1.000 y llegan hasta 33×1.000 para lotes urbanizados no construidos. No se precisa una regla de aplicación cuando un predio presenta usos mixtos.</w:t>
      </w:r>
    </w:p>
    <w:p w14:paraId="0979DE70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Se regula el predial compensatorio y se fija una tarifa especial de 2×1.000 para inmuebles en zonas de alto riesgo; no se explica el criterio técnico de dicha reducción frente al riesgo fiscal.</w:t>
      </w:r>
    </w:p>
    <w:p w14:paraId="235721F1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Límites del IPU: se acoge el esquema de incrementos por actualización catastral conforme a la Ley 1995 de 2019; no se regula el escenario de rezago (actualización diferida o por etapas), lo que deja sin pautas la transición interanual.</w:t>
      </w:r>
    </w:p>
    <w:p w14:paraId="60BDD751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Determinación oficial vía factura: se prevé envío por correo electrónico y “notificación” por ese medio; este diseño puede generar inconvenientes de validez y defensa del contribuyente si no se ajusta al procedimiento especial previsto para la factura-acto.</w:t>
      </w:r>
    </w:p>
    <w:p w14:paraId="6DFA242D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Recaudo y beneficios: pago en cuatro cuotas; pronto pago del 10 % antes del 30 de marzo. La gradualidad para predios en conservación catastral permite aumentos del 100 % anual durante cinco años y, si no se alcanza avalúo por tarifa al quinto año, desemboca en un salto completo en el sexto, con riesgo de cobros desproporcionados.</w:t>
      </w:r>
    </w:p>
    <w:p w14:paraId="304AC5D0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Exclusiones y exenciones: se listan bienes de prohibido gravamen (iglesias, parques naturales, bienes de uso público, zonas de retiro de quebradas, zonas hídricas, alto riesgo) y exentos (Defensa Civil, bomberos, hospital, JAC, fuerza pública, predios para población vulnerable). No se cuantifica el costo fiscal ni se delimitan técnica y cartográficamente las “zonas de retiro” y “zonas hídricas”, por lo que es posible que hoy no se esté causando el impuesto en áreas no definidas operativamente.</w:t>
      </w:r>
    </w:p>
    <w:p w14:paraId="3F9392F5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lastRenderedPageBreak/>
        <w:t>Sobretasas: ambiental al 1,5×1.000; bomberil al 2 % del IPU (sin efecto sobre avalúo); alumbrado público sin sobretasa sobre avalúo.</w:t>
      </w:r>
    </w:p>
    <w:p w14:paraId="1B79850B" w14:textId="77777777" w:rsidR="00FD1684" w:rsidRPr="00FD1684" w:rsidRDefault="00FD1684" w:rsidP="00FD1684">
      <w:pPr>
        <w:numPr>
          <w:ilvl w:val="0"/>
          <w:numId w:val="7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Existe tratamiento especial para predios con cultivos, bosques y protección de nacimientos/fuentes (descuento equivalente a la mitad del porcentaje certificado) y exención total para áreas de bocatomas de acueductos; faltan criterios de elegibilidad y listados/planos oficiales para identificar con certeza los predios y áreas objeto del beneficio, lo que dificulta proyectar impacto fiscal y control posterior.</w:t>
      </w:r>
    </w:p>
    <w:p w14:paraId="1FF1A7C7" w14:textId="77777777" w:rsidR="00FD1684" w:rsidRPr="00FD1684" w:rsidRDefault="00FD1684" w:rsidP="00FD1684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FD1684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14BE3A4A" w14:textId="77777777" w:rsidR="00FD1684" w:rsidRPr="00FD1684" w:rsidRDefault="00FD1684" w:rsidP="00FD1684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Actualizar integralmente la tabla de destinos económicos a la versión 2025 adoptada por la autoridad catastral y alinear definiciones con el modelo LADM-COL; publicar un cuadro de homologación destino-tarifa para evitar vacíos y criterios dispares.</w:t>
      </w:r>
    </w:p>
    <w:p w14:paraId="60CED6D0" w14:textId="77777777" w:rsidR="00FD1684" w:rsidRPr="00FD1684" w:rsidRDefault="00FD1684" w:rsidP="00FD1684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Incorporar regla de aplicación y prelación para usos mixtos (predominio o prorrata por área) dentro de la matriz; documentar la motivación de tarifas especiales (p. ej., 33×1.000 en lotes) y de la tarifa reducida de 2×1.000 en alto riesgo.</w:t>
      </w:r>
    </w:p>
    <w:p w14:paraId="7A13D0A9" w14:textId="77777777" w:rsidR="00FD1684" w:rsidRPr="00FD1684" w:rsidRDefault="00FD1684" w:rsidP="00FD1684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Definir metodología de transición y reglas para rezago catastral (etapas, topes interanuales y ejemplos operativos) con el fin de dar continuidad sin saltos.</w:t>
      </w:r>
    </w:p>
    <w:p w14:paraId="6538E132" w14:textId="77777777" w:rsidR="00FD1684" w:rsidRPr="00FD1684" w:rsidRDefault="00FD1684" w:rsidP="00FD1684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Ajustar el procedimiento de facturación-acto: separar claramente “entrega” y “notificación”, prever constancia de publicación/consulta y un canal de oposición/recurso que no dependa exclusivamente del correo electrónico.</w:t>
      </w:r>
    </w:p>
    <w:p w14:paraId="52243A77" w14:textId="77777777" w:rsidR="00FD1684" w:rsidRPr="00FD1684" w:rsidRDefault="00FD1684" w:rsidP="00FD1684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Revisar la gradualidad de conservación catastral para evitar un salto en el sexto año; sustituirla por un esquema de incrementos escalonados que limite el crecimiento anual y mantenga continuidad hasta que exista avalúo por tarifa.</w:t>
      </w:r>
    </w:p>
    <w:p w14:paraId="52E3D85F" w14:textId="77777777" w:rsidR="00FD1684" w:rsidRPr="00FD1684" w:rsidRDefault="00FD1684" w:rsidP="00FD1684">
      <w:pPr>
        <w:numPr>
          <w:ilvl w:val="0"/>
          <w:numId w:val="8"/>
        </w:numPr>
        <w:spacing w:line="360" w:lineRule="auto"/>
        <w:jc w:val="both"/>
        <w:rPr>
          <w:rFonts w:ascii="Aptos" w:hAnsi="Aptos" w:cs="Times New Roman"/>
        </w:rPr>
      </w:pPr>
      <w:r w:rsidRPr="00FD1684">
        <w:rPr>
          <w:rFonts w:ascii="Aptos" w:hAnsi="Aptos" w:cs="Times New Roman"/>
        </w:rPr>
        <w:t>En exclusiones y exenciones, cuantificar el costo fiscal, definir cartográficamente zonas de retiro de quebradas y zonas hídricas.</w:t>
      </w:r>
    </w:p>
    <w:p w14:paraId="597059D7" w14:textId="77777777" w:rsidR="00707E60" w:rsidRDefault="00707E60"/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AE82A" w14:textId="77777777" w:rsidR="0092225F" w:rsidRDefault="0092225F" w:rsidP="00707E60">
      <w:pPr>
        <w:spacing w:after="0" w:line="240" w:lineRule="auto"/>
      </w:pPr>
      <w:r>
        <w:separator/>
      </w:r>
    </w:p>
  </w:endnote>
  <w:endnote w:type="continuationSeparator" w:id="0">
    <w:p w14:paraId="17D81E60" w14:textId="77777777" w:rsidR="0092225F" w:rsidRDefault="0092225F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4B91" w14:textId="77777777" w:rsidR="0092225F" w:rsidRDefault="0092225F" w:rsidP="00707E60">
      <w:pPr>
        <w:spacing w:after="0" w:line="240" w:lineRule="auto"/>
      </w:pPr>
      <w:r>
        <w:separator/>
      </w:r>
    </w:p>
  </w:footnote>
  <w:footnote w:type="continuationSeparator" w:id="0">
    <w:p w14:paraId="3A5CA535" w14:textId="77777777" w:rsidR="0092225F" w:rsidRDefault="0092225F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0AC9E075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B20A83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Santa Fe de Antioquia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0AC9E075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B20A83">
                      <w:rPr>
                        <w:color w:val="000000" w:themeColor="text1"/>
                        <w:sz w:val="28"/>
                        <w:szCs w:val="28"/>
                      </w:rPr>
                      <w:t>Santa Fe de Antioquia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05459"/>
    <w:multiLevelType w:val="multilevel"/>
    <w:tmpl w:val="3B1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1089B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C270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9E7972"/>
    <w:multiLevelType w:val="multilevel"/>
    <w:tmpl w:val="B91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"/>
  </w:num>
  <w:num w:numId="2" w16cid:durableId="1017347282">
    <w:abstractNumId w:val="3"/>
  </w:num>
  <w:num w:numId="3" w16cid:durableId="44450645">
    <w:abstractNumId w:val="4"/>
  </w:num>
  <w:num w:numId="4" w16cid:durableId="1953855267">
    <w:abstractNumId w:val="0"/>
  </w:num>
  <w:num w:numId="5" w16cid:durableId="280110805">
    <w:abstractNumId w:val="5"/>
  </w:num>
  <w:num w:numId="6" w16cid:durableId="1238442786">
    <w:abstractNumId w:val="6"/>
  </w:num>
  <w:num w:numId="7" w16cid:durableId="1845389894">
    <w:abstractNumId w:val="7"/>
  </w:num>
  <w:num w:numId="8" w16cid:durableId="1524637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120797"/>
    <w:rsid w:val="00134527"/>
    <w:rsid w:val="00211E44"/>
    <w:rsid w:val="0023618C"/>
    <w:rsid w:val="00312D84"/>
    <w:rsid w:val="003650D0"/>
    <w:rsid w:val="003A7CEA"/>
    <w:rsid w:val="003E2241"/>
    <w:rsid w:val="004107CA"/>
    <w:rsid w:val="004A51C7"/>
    <w:rsid w:val="005422DF"/>
    <w:rsid w:val="005D08ED"/>
    <w:rsid w:val="005F7A75"/>
    <w:rsid w:val="00605B4C"/>
    <w:rsid w:val="00665846"/>
    <w:rsid w:val="006A249B"/>
    <w:rsid w:val="00707E60"/>
    <w:rsid w:val="007D1D7D"/>
    <w:rsid w:val="00813F67"/>
    <w:rsid w:val="00844CC8"/>
    <w:rsid w:val="00845F02"/>
    <w:rsid w:val="00855468"/>
    <w:rsid w:val="0092225F"/>
    <w:rsid w:val="009D1F9E"/>
    <w:rsid w:val="00A27409"/>
    <w:rsid w:val="00A55C9A"/>
    <w:rsid w:val="00A60686"/>
    <w:rsid w:val="00A96461"/>
    <w:rsid w:val="00AA7DD4"/>
    <w:rsid w:val="00B20A83"/>
    <w:rsid w:val="00C04706"/>
    <w:rsid w:val="00C942B0"/>
    <w:rsid w:val="00D37EF2"/>
    <w:rsid w:val="00DB14E5"/>
    <w:rsid w:val="00DD0016"/>
    <w:rsid w:val="00E20840"/>
    <w:rsid w:val="00E608BE"/>
    <w:rsid w:val="00F27231"/>
    <w:rsid w:val="00F65205"/>
    <w:rsid w:val="00FD1684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7</cp:revision>
  <dcterms:created xsi:type="dcterms:W3CDTF">2025-10-23T17:12:00Z</dcterms:created>
  <dcterms:modified xsi:type="dcterms:W3CDTF">2025-10-30T13:58:00Z</dcterms:modified>
</cp:coreProperties>
</file>