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2A5E" w14:textId="77777777" w:rsidR="004107CA" w:rsidRDefault="004107CA"/>
    <w:p w14:paraId="69C464BD" w14:textId="77777777" w:rsidR="00707E60" w:rsidRDefault="00707E60"/>
    <w:p w14:paraId="7C41B434" w14:textId="77777777" w:rsidR="00707E60" w:rsidRDefault="00707E60"/>
    <w:p w14:paraId="65123F46" w14:textId="77777777" w:rsidR="00707E60" w:rsidRDefault="00707E60"/>
    <w:p w14:paraId="4234CDFE" w14:textId="77777777" w:rsidR="00707E60" w:rsidRDefault="00707E60"/>
    <w:p w14:paraId="7411AD1A" w14:textId="73CF28AB" w:rsidR="00707E60" w:rsidRDefault="00707E60"/>
    <w:p w14:paraId="33230097" w14:textId="669EDDD4" w:rsidR="00707E60" w:rsidRDefault="00707E60" w:rsidP="00707E60">
      <w:pPr>
        <w:jc w:val="center"/>
      </w:pPr>
    </w:p>
    <w:p w14:paraId="524EFE21" w14:textId="331BC161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06CCB526" w14:textId="4AD669AC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  <w:r w:rsidRPr="001B18EF">
        <w:rPr>
          <w:noProof/>
          <w:lang w:eastAsia="es-CO"/>
        </w:rPr>
        <w:drawing>
          <wp:anchor distT="0" distB="0" distL="114300" distR="114300" simplePos="0" relativeHeight="251659264" behindDoc="0" locked="0" layoutInCell="1" allowOverlap="1" wp14:anchorId="2C40115D" wp14:editId="27710BD4">
            <wp:simplePos x="0" y="0"/>
            <wp:positionH relativeFrom="column">
              <wp:posOffset>1302151</wp:posOffset>
            </wp:positionH>
            <wp:positionV relativeFrom="paragraph">
              <wp:posOffset>166370</wp:posOffset>
            </wp:positionV>
            <wp:extent cx="3268980" cy="942975"/>
            <wp:effectExtent l="0" t="0" r="0" b="0"/>
            <wp:wrapSquare wrapText="bothSides"/>
            <wp:docPr id="719188107" name="Picture 9" descr="A black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9291" name="Picture 9" descr="A black and grey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F0E95E" w14:textId="0BCC274E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CC9BDC5" w14:textId="2A351149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2F1B4B3D" w14:textId="77777777" w:rsidR="0084474E" w:rsidRDefault="0084474E" w:rsidP="0084474E">
      <w:pPr>
        <w:pStyle w:val="NoSpacing"/>
        <w:jc w:val="center"/>
        <w:rPr>
          <w:b/>
          <w:bCs/>
          <w:color w:val="000000" w:themeColor="text1"/>
          <w:sz w:val="56"/>
          <w:szCs w:val="56"/>
        </w:rPr>
      </w:pPr>
      <w:r w:rsidRPr="00AB4389">
        <w:rPr>
          <w:b/>
          <w:bCs/>
          <w:color w:val="000000" w:themeColor="text1"/>
          <w:sz w:val="56"/>
          <w:szCs w:val="56"/>
        </w:rPr>
        <w:t>Análisis Jurídico de Estatuto Tributario</w:t>
      </w:r>
    </w:p>
    <w:p w14:paraId="1594669D" w14:textId="24781DC8" w:rsidR="00707E60" w:rsidRPr="00707E60" w:rsidRDefault="00707E60" w:rsidP="0084474E">
      <w:pPr>
        <w:pStyle w:val="NoSpacing"/>
        <w:rPr>
          <w:b/>
          <w:bCs/>
          <w:color w:val="000000" w:themeColor="text1"/>
          <w:sz w:val="56"/>
          <w:szCs w:val="56"/>
        </w:rPr>
      </w:pPr>
    </w:p>
    <w:p w14:paraId="68B285CD" w14:textId="77777777" w:rsidR="00707E60" w:rsidRPr="00707E60" w:rsidRDefault="00707E60" w:rsidP="00707E60">
      <w:pPr>
        <w:pStyle w:val="NoSpacing"/>
        <w:jc w:val="center"/>
        <w:rPr>
          <w:color w:val="000000" w:themeColor="text1"/>
          <w:sz w:val="72"/>
          <w:szCs w:val="72"/>
        </w:rPr>
      </w:pPr>
    </w:p>
    <w:p w14:paraId="2FE843B9" w14:textId="76CCE2F7" w:rsidR="00707E60" w:rsidRPr="00707E60" w:rsidRDefault="00707E60" w:rsidP="00707E60">
      <w:pPr>
        <w:pStyle w:val="NoSpacing"/>
        <w:jc w:val="center"/>
        <w:rPr>
          <w:color w:val="000000" w:themeColor="text1"/>
          <w:sz w:val="44"/>
          <w:szCs w:val="44"/>
        </w:rPr>
      </w:pPr>
      <w:r w:rsidRPr="00707E60">
        <w:rPr>
          <w:color w:val="000000" w:themeColor="text1"/>
          <w:sz w:val="44"/>
          <w:szCs w:val="44"/>
        </w:rPr>
        <w:t xml:space="preserve">Municipio: </w:t>
      </w:r>
      <w:r w:rsidR="0022179C">
        <w:rPr>
          <w:color w:val="000000" w:themeColor="text1"/>
          <w:sz w:val="44"/>
          <w:szCs w:val="44"/>
        </w:rPr>
        <w:t>Uramita</w:t>
      </w:r>
      <w:r w:rsidRPr="00707E60">
        <w:rPr>
          <w:color w:val="000000" w:themeColor="text1"/>
          <w:sz w:val="44"/>
          <w:szCs w:val="44"/>
        </w:rPr>
        <w:t xml:space="preserve"> </w:t>
      </w:r>
    </w:p>
    <w:p w14:paraId="3460615A" w14:textId="77777777" w:rsidR="00707E60" w:rsidRPr="00707E60" w:rsidRDefault="00707E60"/>
    <w:p w14:paraId="0107F43B" w14:textId="77777777" w:rsidR="00707E60" w:rsidRDefault="00707E60"/>
    <w:p w14:paraId="6154161F" w14:textId="77777777" w:rsidR="00707E60" w:rsidRDefault="00707E60"/>
    <w:p w14:paraId="7789B689" w14:textId="77777777" w:rsidR="00707E60" w:rsidRDefault="00707E60"/>
    <w:p w14:paraId="422FC476" w14:textId="77777777" w:rsidR="00707E60" w:rsidRDefault="00707E60"/>
    <w:p w14:paraId="74370256" w14:textId="77777777" w:rsidR="00707E60" w:rsidRDefault="00707E60"/>
    <w:p w14:paraId="25496B82" w14:textId="77777777" w:rsidR="00707E60" w:rsidRDefault="00707E60"/>
    <w:p w14:paraId="0E10EFE4" w14:textId="77777777" w:rsidR="00707E60" w:rsidRDefault="00707E60"/>
    <w:p w14:paraId="7C43018D" w14:textId="77777777" w:rsidR="000D1E67" w:rsidRPr="000D1E67" w:rsidRDefault="000D1E67" w:rsidP="000D1E67">
      <w:pPr>
        <w:spacing w:line="360" w:lineRule="auto"/>
        <w:rPr>
          <w:rFonts w:ascii="Aptos" w:hAnsi="Aptos" w:cs="Times New Roman"/>
        </w:rPr>
      </w:pPr>
      <w:r w:rsidRPr="000D1E67">
        <w:rPr>
          <w:rFonts w:ascii="Aptos" w:hAnsi="Aptos" w:cs="Times New Roman"/>
        </w:rPr>
        <w:lastRenderedPageBreak/>
        <w:t>El estado actual de su normatividad tributaria se establece en el Acuerdo 13 de 2018.</w:t>
      </w:r>
    </w:p>
    <w:p w14:paraId="319F6B8B" w14:textId="77777777" w:rsidR="000D1E67" w:rsidRPr="000D1E67" w:rsidRDefault="000D1E67" w:rsidP="000D1E67">
      <w:pPr>
        <w:widowControl w:val="0"/>
        <w:spacing w:after="0" w:line="360" w:lineRule="auto"/>
        <w:jc w:val="both"/>
        <w:rPr>
          <w:rFonts w:ascii="Aptos" w:hAnsi="Aptos" w:cs="Times New Roman"/>
          <w:sz w:val="32"/>
          <w:szCs w:val="32"/>
        </w:rPr>
      </w:pPr>
      <w:r w:rsidRPr="000D1E67">
        <w:rPr>
          <w:rFonts w:ascii="Aptos" w:hAnsi="Aptos" w:cs="Times New Roman"/>
          <w:b/>
          <w:bCs/>
          <w:sz w:val="32"/>
          <w:szCs w:val="32"/>
        </w:rPr>
        <w:t>Hallazgos</w:t>
      </w:r>
    </w:p>
    <w:p w14:paraId="4BED8DEF" w14:textId="77777777" w:rsidR="000D1E67" w:rsidRPr="000D1E67" w:rsidRDefault="000D1E67" w:rsidP="000D1E67">
      <w:pPr>
        <w:pStyle w:val="ListParagraph"/>
        <w:widowControl w:val="0"/>
        <w:numPr>
          <w:ilvl w:val="0"/>
          <w:numId w:val="11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0D1E67">
        <w:rPr>
          <w:rFonts w:ascii="Aptos" w:hAnsi="Aptos" w:cs="Times New Roman"/>
        </w:rPr>
        <w:t>La tabla de destinos económicos no contempla las modificaciones introducidas por la Resolución 2025060163216 del 14 de marzo de 2025, que redefine los destinos en Antioquia conforme al modelo LADM-COL v4.1. Omitir estos destinos deja sin tarifa a nuevas categorías y expone al Municipio a pérdidas por falta de un elemento esencial del tributo.</w:t>
      </w:r>
    </w:p>
    <w:p w14:paraId="736AECE0" w14:textId="77777777" w:rsidR="000D1E67" w:rsidRPr="000D1E67" w:rsidRDefault="000D1E67" w:rsidP="000D1E67">
      <w:pPr>
        <w:pStyle w:val="ListParagraph"/>
        <w:widowControl w:val="0"/>
        <w:numPr>
          <w:ilvl w:val="0"/>
          <w:numId w:val="11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0D1E67">
        <w:rPr>
          <w:rFonts w:ascii="Aptos" w:hAnsi="Aptos" w:cs="Times New Roman"/>
        </w:rPr>
        <w:t>Los procedimientos catastrales se remiten a la Resolución 70 de 2011 y no adoptan el marco operativo vigente.</w:t>
      </w:r>
    </w:p>
    <w:p w14:paraId="680E5285" w14:textId="77777777" w:rsidR="000D1E67" w:rsidRPr="000D1E67" w:rsidRDefault="000D1E67" w:rsidP="000D1E67">
      <w:pPr>
        <w:pStyle w:val="ListParagraph"/>
        <w:widowControl w:val="0"/>
        <w:numPr>
          <w:ilvl w:val="0"/>
          <w:numId w:val="11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0D1E67">
        <w:rPr>
          <w:rFonts w:ascii="Aptos" w:hAnsi="Aptos" w:cs="Times New Roman"/>
        </w:rPr>
        <w:t>La matriz tarifaria está definida en rangos de avalúo en pesos, incluye categorías “de $1 en adelante” y fija tarifas de 5‰ a 16‰, con 20‰ y 25‰ para lotes, lo que afecta progresividad y acelera la desactualización.</w:t>
      </w:r>
    </w:p>
    <w:p w14:paraId="0880AFFB" w14:textId="77777777" w:rsidR="000D1E67" w:rsidRPr="000D1E67" w:rsidRDefault="000D1E67" w:rsidP="000D1E67">
      <w:pPr>
        <w:pStyle w:val="ListParagraph"/>
        <w:widowControl w:val="0"/>
        <w:numPr>
          <w:ilvl w:val="0"/>
          <w:numId w:val="11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0D1E67">
        <w:rPr>
          <w:rFonts w:ascii="Aptos" w:hAnsi="Aptos" w:cs="Times New Roman"/>
        </w:rPr>
        <w:t>Se ordena aplicar la tarifa máxima a usos no autorizados del ordenamiento y a proyectos de interés prioritario con valor comercial superior a lo licenciado, configurando un uso sancionatorio impropio del impuesto predial.</w:t>
      </w:r>
    </w:p>
    <w:p w14:paraId="4BEBE6BB" w14:textId="77777777" w:rsidR="000D1E67" w:rsidRPr="000D1E67" w:rsidRDefault="000D1E67" w:rsidP="000D1E67">
      <w:pPr>
        <w:pStyle w:val="ListParagraph"/>
        <w:widowControl w:val="0"/>
        <w:numPr>
          <w:ilvl w:val="0"/>
          <w:numId w:val="11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0D1E67">
        <w:rPr>
          <w:rFonts w:ascii="Aptos" w:hAnsi="Aptos" w:cs="Times New Roman"/>
        </w:rPr>
        <w:t>La determinación por factura con mérito ejecutivo carece de contenido mínimo exigible, protocolo de notificación y esquema de difusión previa unificados.</w:t>
      </w:r>
    </w:p>
    <w:p w14:paraId="33FF76C4" w14:textId="77777777" w:rsidR="000D1E67" w:rsidRPr="000D1E67" w:rsidRDefault="000D1E67" w:rsidP="000D1E67">
      <w:pPr>
        <w:pStyle w:val="ListParagraph"/>
        <w:widowControl w:val="0"/>
        <w:numPr>
          <w:ilvl w:val="0"/>
          <w:numId w:val="11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0D1E67">
        <w:rPr>
          <w:rFonts w:ascii="Aptos" w:hAnsi="Aptos" w:cs="Times New Roman"/>
        </w:rPr>
        <w:t>La sobretasa ambiental se fija en 1,5‰</w:t>
      </w:r>
    </w:p>
    <w:p w14:paraId="6A7C0715" w14:textId="77777777" w:rsidR="000D1E67" w:rsidRPr="000D1E67" w:rsidRDefault="000D1E67" w:rsidP="000D1E67">
      <w:pPr>
        <w:pStyle w:val="ListParagraph"/>
        <w:widowControl w:val="0"/>
        <w:numPr>
          <w:ilvl w:val="0"/>
          <w:numId w:val="11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0D1E67">
        <w:rPr>
          <w:rFonts w:ascii="Aptos" w:hAnsi="Aptos" w:cs="Times New Roman"/>
        </w:rPr>
        <w:t xml:space="preserve">El descuento por pronto pago se encuentra en el 20% </w:t>
      </w:r>
    </w:p>
    <w:p w14:paraId="33288E37" w14:textId="77777777" w:rsidR="000D1E67" w:rsidRPr="000D1E67" w:rsidRDefault="000D1E67" w:rsidP="000D1E67">
      <w:pPr>
        <w:pStyle w:val="ListParagraph"/>
        <w:widowControl w:val="0"/>
        <w:numPr>
          <w:ilvl w:val="0"/>
          <w:numId w:val="11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0D1E67">
        <w:rPr>
          <w:rFonts w:ascii="Aptos" w:hAnsi="Aptos" w:cs="Times New Roman"/>
        </w:rPr>
        <w:t>El catálogo de exclusiones, exenciones y tratamientos especiales presenta solapamientos y ausencia de regla de prelación y no concurrencia; los tratamientos preferenciales a 5‰ para cultura/arte y patrimonio pueden coincidir con exenciones ya previstas.</w:t>
      </w:r>
    </w:p>
    <w:p w14:paraId="35E4A8CD" w14:textId="77777777" w:rsidR="000D1E67" w:rsidRPr="000D1E67" w:rsidRDefault="000D1E67" w:rsidP="000D1E67">
      <w:pPr>
        <w:pStyle w:val="ListParagraph"/>
        <w:widowControl w:val="0"/>
        <w:numPr>
          <w:ilvl w:val="0"/>
          <w:numId w:val="11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0D1E67">
        <w:rPr>
          <w:rFonts w:ascii="Aptos" w:hAnsi="Aptos" w:cs="Times New Roman"/>
        </w:rPr>
        <w:t>Se declara exclusión para predios de propiedad del municipio y de otros municipios con fundamento reglamentario; no se acredita sustento constitucional para una exención general de bienes estatales ni para predios de otras entidades territoriales, y se desconoce el límite territorial del tributo.</w:t>
      </w:r>
    </w:p>
    <w:p w14:paraId="202C8BA1" w14:textId="77777777" w:rsidR="000D1E67" w:rsidRPr="000D1E67" w:rsidRDefault="000D1E67" w:rsidP="000D1E67">
      <w:pPr>
        <w:pStyle w:val="ListParagraph"/>
        <w:widowControl w:val="0"/>
        <w:numPr>
          <w:ilvl w:val="0"/>
          <w:numId w:val="11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0D1E67">
        <w:rPr>
          <w:rFonts w:ascii="Aptos" w:hAnsi="Aptos" w:cs="Times New Roman"/>
        </w:rPr>
        <w:t>Áreas de conservación ambiental y parques públicos aparecen como excluidas.</w:t>
      </w:r>
    </w:p>
    <w:p w14:paraId="67F55A15" w14:textId="77777777" w:rsidR="000D1E67" w:rsidRPr="000D1E67" w:rsidRDefault="000D1E67" w:rsidP="000D1E67">
      <w:pPr>
        <w:spacing w:line="360" w:lineRule="auto"/>
        <w:ind w:left="720"/>
        <w:rPr>
          <w:rFonts w:ascii="Aptos" w:hAnsi="Aptos" w:cs="Times New Roman"/>
        </w:rPr>
      </w:pPr>
    </w:p>
    <w:p w14:paraId="391D576C" w14:textId="786B8022" w:rsidR="000D1E67" w:rsidRPr="000D1E67" w:rsidRDefault="000D1E67" w:rsidP="000D1E67">
      <w:pPr>
        <w:spacing w:line="360" w:lineRule="auto"/>
        <w:rPr>
          <w:rFonts w:ascii="Aptos" w:hAnsi="Aptos" w:cs="Times New Roman"/>
          <w:sz w:val="32"/>
          <w:szCs w:val="32"/>
        </w:rPr>
      </w:pPr>
      <w:r w:rsidRPr="000D1E67">
        <w:rPr>
          <w:rFonts w:ascii="Aptos" w:hAnsi="Aptos" w:cs="Times New Roman"/>
          <w:b/>
          <w:bCs/>
          <w:sz w:val="32"/>
          <w:szCs w:val="32"/>
        </w:rPr>
        <w:t>Recomendaciones</w:t>
      </w:r>
    </w:p>
    <w:p w14:paraId="2C0E5768" w14:textId="18A817DB" w:rsidR="000D1E67" w:rsidRPr="000D1E67" w:rsidRDefault="000D1E67" w:rsidP="000D1E67">
      <w:pPr>
        <w:pStyle w:val="ListParagraph"/>
        <w:widowControl w:val="0"/>
        <w:numPr>
          <w:ilvl w:val="0"/>
          <w:numId w:val="11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0D1E67">
        <w:rPr>
          <w:rFonts w:ascii="Aptos" w:hAnsi="Aptos" w:cs="Times New Roman"/>
        </w:rPr>
        <w:t>Actualizar la tabla de destinos económicos conforme a la Resolución 2025060163216 para alinear integralmente el estatuto con el modelo LADM-COL v4.1 y evitar vacíos tarifarios.</w:t>
      </w:r>
    </w:p>
    <w:p w14:paraId="4137210A" w14:textId="35FFD9BE" w:rsidR="000D1E67" w:rsidRPr="000D1E67" w:rsidRDefault="000D1E67" w:rsidP="000D1E67">
      <w:pPr>
        <w:pStyle w:val="ListParagraph"/>
        <w:widowControl w:val="0"/>
        <w:numPr>
          <w:ilvl w:val="0"/>
          <w:numId w:val="11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0D1E67">
        <w:rPr>
          <w:rFonts w:ascii="Aptos" w:hAnsi="Aptos" w:cs="Times New Roman"/>
        </w:rPr>
        <w:lastRenderedPageBreak/>
        <w:t>Adoptar el marco operativo catastral de la resolución 1040 del 2023 y sustituir referencias desactualizadas, garantizando coherencia con los procesos de formación, actualización y conservación.</w:t>
      </w:r>
    </w:p>
    <w:p w14:paraId="18ACA090" w14:textId="208E2251" w:rsidR="000D1E67" w:rsidRPr="000D1E67" w:rsidRDefault="000D1E67" w:rsidP="000D1E67">
      <w:pPr>
        <w:pStyle w:val="ListParagraph"/>
        <w:widowControl w:val="0"/>
        <w:numPr>
          <w:ilvl w:val="0"/>
          <w:numId w:val="11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0D1E67">
        <w:rPr>
          <w:rFonts w:ascii="Aptos" w:hAnsi="Aptos" w:cs="Times New Roman"/>
        </w:rPr>
        <w:t>Migrar la matriz tarifaria a UVT y estructurar escalonamientos por tramos de avalúo con justificación técnica por destinación.</w:t>
      </w:r>
    </w:p>
    <w:p w14:paraId="3DB8CEBB" w14:textId="168ED376" w:rsidR="000D1E67" w:rsidRPr="000D1E67" w:rsidRDefault="000D1E67" w:rsidP="000D1E67">
      <w:pPr>
        <w:pStyle w:val="ListParagraph"/>
        <w:widowControl w:val="0"/>
        <w:numPr>
          <w:ilvl w:val="0"/>
          <w:numId w:val="11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0D1E67">
        <w:rPr>
          <w:rFonts w:ascii="Aptos" w:hAnsi="Aptos" w:cs="Times New Roman"/>
        </w:rPr>
        <w:t>Suprimir la orden de aplicar tarifa máxima como sanción a usos no autorizados o a proyectos de interés prioritario; los controles urbanísticos deben gestionarse por los instrumentos de ordenamiento y no vía tarifa el predial.</w:t>
      </w:r>
    </w:p>
    <w:p w14:paraId="1F845EAD" w14:textId="05F8C8B3" w:rsidR="000D1E67" w:rsidRPr="000D1E67" w:rsidRDefault="000D1E67" w:rsidP="000D1E67">
      <w:pPr>
        <w:pStyle w:val="ListParagraph"/>
        <w:widowControl w:val="0"/>
        <w:numPr>
          <w:ilvl w:val="0"/>
          <w:numId w:val="11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0D1E67">
        <w:rPr>
          <w:rFonts w:ascii="Aptos" w:hAnsi="Aptos" w:cs="Times New Roman"/>
        </w:rPr>
        <w:t>Fortalecer la determinación por factura con contenido mínimo del acto, medios de notificación y constancias, y esquema de difusión previa</w:t>
      </w:r>
      <w:r>
        <w:rPr>
          <w:rFonts w:ascii="Aptos" w:hAnsi="Aptos" w:cs="Times New Roman"/>
        </w:rPr>
        <w:t>.</w:t>
      </w:r>
    </w:p>
    <w:p w14:paraId="51D2C62E" w14:textId="7FCA087E" w:rsidR="000D1E67" w:rsidRPr="000D1E67" w:rsidRDefault="000D1E67" w:rsidP="000D1E67">
      <w:pPr>
        <w:pStyle w:val="ListParagraph"/>
        <w:widowControl w:val="0"/>
        <w:numPr>
          <w:ilvl w:val="0"/>
          <w:numId w:val="11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0D1E67">
        <w:rPr>
          <w:rFonts w:ascii="Aptos" w:hAnsi="Aptos" w:cs="Times New Roman"/>
        </w:rPr>
        <w:t>Depurar y jerarquizar exclusiones, exenciones y tratamientos especiales con una regla general de prelación y no concurrencia; unificar el tratamiento de cada categoría de predios y verificar que los tratamientos a 5‰ no dupliquen exenciones existentes.</w:t>
      </w:r>
    </w:p>
    <w:p w14:paraId="1E09BBD6" w14:textId="77777777" w:rsidR="000D1E67" w:rsidRPr="000D1E67" w:rsidRDefault="000D1E67" w:rsidP="000D1E67">
      <w:pPr>
        <w:pStyle w:val="ListParagraph"/>
        <w:widowControl w:val="0"/>
        <w:numPr>
          <w:ilvl w:val="0"/>
          <w:numId w:val="11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0D1E67">
        <w:rPr>
          <w:rFonts w:ascii="Aptos" w:hAnsi="Aptos" w:cs="Times New Roman"/>
        </w:rPr>
        <w:t>Revisar la exclusión general para predios del municipio y de otros municipios y limitarla estrictamente cuando proceda, precisar el alcance territorial del tributo y sujeción pasiva sin extender beneficios a entidades externas al territorio.</w:t>
      </w:r>
    </w:p>
    <w:p w14:paraId="597059D7" w14:textId="77777777" w:rsidR="00707E60" w:rsidRDefault="00707E60"/>
    <w:p w14:paraId="412E737A" w14:textId="77777777" w:rsidR="00707E60" w:rsidRDefault="00707E60"/>
    <w:p w14:paraId="59F5D9C1" w14:textId="77777777" w:rsidR="00707E60" w:rsidRDefault="00707E60"/>
    <w:p w14:paraId="39A1343E" w14:textId="77777777" w:rsidR="00707E60" w:rsidRDefault="00707E60"/>
    <w:p w14:paraId="46B394A7" w14:textId="77777777" w:rsidR="00707E60" w:rsidRDefault="00707E60"/>
    <w:p w14:paraId="19A269B2" w14:textId="77777777" w:rsidR="00707E60" w:rsidRDefault="00707E60"/>
    <w:p w14:paraId="3158B45A" w14:textId="77777777" w:rsidR="00707E60" w:rsidRDefault="00707E60"/>
    <w:p w14:paraId="43A6B5BA" w14:textId="77777777" w:rsidR="00707E60" w:rsidRDefault="00707E60"/>
    <w:sectPr w:rsidR="00707E60" w:rsidSect="00707E60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F5EB9" w14:textId="77777777" w:rsidR="0079581D" w:rsidRDefault="0079581D" w:rsidP="00707E60">
      <w:pPr>
        <w:spacing w:after="0" w:line="240" w:lineRule="auto"/>
      </w:pPr>
      <w:r>
        <w:separator/>
      </w:r>
    </w:p>
  </w:endnote>
  <w:endnote w:type="continuationSeparator" w:id="0">
    <w:p w14:paraId="56E1E8C2" w14:textId="77777777" w:rsidR="0079581D" w:rsidRDefault="0079581D" w:rsidP="00707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94536840"/>
      <w:docPartObj>
        <w:docPartGallery w:val="Page Numbers (Bottom of Page)"/>
        <w:docPartUnique/>
      </w:docPartObj>
    </w:sdtPr>
    <w:sdtContent>
      <w:p w14:paraId="5B7F2B64" w14:textId="68F29198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01427EE" w14:textId="77777777" w:rsidR="00707E60" w:rsidRDefault="00707E60" w:rsidP="00707E6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0755832"/>
      <w:docPartObj>
        <w:docPartGallery w:val="Page Numbers (Bottom of Page)"/>
        <w:docPartUnique/>
      </w:docPartObj>
    </w:sdtPr>
    <w:sdtContent>
      <w:p w14:paraId="4BC3D90B" w14:textId="5F218685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C2F8937" w14:textId="77777777" w:rsidR="00707E60" w:rsidRDefault="00707E60" w:rsidP="00707E6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A9359" w14:textId="77777777" w:rsidR="0079581D" w:rsidRDefault="0079581D" w:rsidP="00707E60">
      <w:pPr>
        <w:spacing w:after="0" w:line="240" w:lineRule="auto"/>
      </w:pPr>
      <w:r>
        <w:separator/>
      </w:r>
    </w:p>
  </w:footnote>
  <w:footnote w:type="continuationSeparator" w:id="0">
    <w:p w14:paraId="25ED0C90" w14:textId="77777777" w:rsidR="0079581D" w:rsidRDefault="0079581D" w:rsidP="00707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EA336" w14:textId="7FD62BEC" w:rsidR="00707E60" w:rsidRDefault="00707E60" w:rsidP="00707E60">
    <w:pPr>
      <w:pStyle w:val="Header"/>
    </w:pPr>
    <w:r w:rsidRPr="006F3507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CC783E" wp14:editId="1C11A54F">
              <wp:simplePos x="0" y="0"/>
              <wp:positionH relativeFrom="column">
                <wp:posOffset>37238</wp:posOffset>
              </wp:positionH>
              <wp:positionV relativeFrom="paragraph">
                <wp:posOffset>-111760</wp:posOffset>
              </wp:positionV>
              <wp:extent cx="3256767" cy="551145"/>
              <wp:effectExtent l="0" t="0" r="0" b="0"/>
              <wp:wrapNone/>
              <wp:docPr id="4" name="CuadroTexto 3">
                <a:extLst xmlns:a="http://schemas.openxmlformats.org/drawingml/2006/main">
                  <a:ext uri="{FF2B5EF4-FFF2-40B4-BE49-F238E27FC236}">
                    <a16:creationId xmlns:a16="http://schemas.microsoft.com/office/drawing/2014/main" id="{0BAB22FA-B3FF-7701-F2F6-CC0537A91E39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56767" cy="5511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EFA097" w14:textId="77777777" w:rsidR="00AA16EF" w:rsidRPr="00327CFA" w:rsidRDefault="00AA16EF" w:rsidP="00AA16EF">
                          <w:pPr>
                            <w:pStyle w:val="NoSpacing"/>
                            <w:rPr>
                              <w:b/>
                              <w:bCs/>
                              <w:color w:val="000000" w:themeColor="text1"/>
                            </w:rPr>
                          </w:pPr>
                          <w:r w:rsidRPr="00AB4389">
                            <w:rPr>
                              <w:b/>
                              <w:bCs/>
                              <w:color w:val="000000" w:themeColor="text1"/>
                            </w:rPr>
                            <w:t>Análisis Jurídico de Estatuto Tributario</w:t>
                          </w:r>
                        </w:p>
                        <w:p w14:paraId="55DF06F3" w14:textId="70AFE856" w:rsidR="00707E60" w:rsidRPr="00707E60" w:rsidRDefault="00707E60" w:rsidP="00707E60">
                          <w:pPr>
                            <w:pStyle w:val="NoSpacing"/>
                            <w:rPr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707E60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 xml:space="preserve">Ficha Municipio </w:t>
                          </w:r>
                          <w:r w:rsidR="0022179C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Uramita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CC783E" id="_x0000_t202" coordsize="21600,21600" o:spt="202" path="m,l,21600r21600,l21600,xe">
              <v:stroke joinstyle="miter"/>
              <v:path gradientshapeok="t" o:connecttype="rect"/>
            </v:shapetype>
            <v:shape id="CuadroTexto 3" o:spid="_x0000_s1026" type="#_x0000_t202" style="position:absolute;margin-left:2.95pt;margin-top:-8.8pt;width:256.45pt;height:4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" filled="f" stroked="f">
              <v:textbox>
                <w:txbxContent>
                  <w:p w14:paraId="23EFA097" w14:textId="77777777" w:rsidR="00AA16EF" w:rsidRPr="00327CFA" w:rsidRDefault="00AA16EF" w:rsidP="00AA16EF">
                    <w:pPr>
                      <w:pStyle w:val="NoSpacing"/>
                      <w:rPr>
                        <w:b/>
                        <w:bCs/>
                        <w:color w:val="000000" w:themeColor="text1"/>
                      </w:rPr>
                    </w:pPr>
                    <w:r w:rsidRPr="00AB4389">
                      <w:rPr>
                        <w:b/>
                        <w:bCs/>
                        <w:color w:val="000000" w:themeColor="text1"/>
                      </w:rPr>
                      <w:t>Análisis Jurídico de Estatuto Tributario</w:t>
                    </w:r>
                  </w:p>
                  <w:p w14:paraId="55DF06F3" w14:textId="70AFE856" w:rsidR="00707E60" w:rsidRPr="00707E60" w:rsidRDefault="00707E60" w:rsidP="00707E60">
                    <w:pPr>
                      <w:pStyle w:val="NoSpacing"/>
                      <w:rPr>
                        <w:color w:val="000000" w:themeColor="text1"/>
                        <w:sz w:val="28"/>
                        <w:szCs w:val="28"/>
                      </w:rPr>
                    </w:pPr>
                    <w:r w:rsidRPr="00707E60">
                      <w:rPr>
                        <w:color w:val="000000" w:themeColor="text1"/>
                        <w:sz w:val="28"/>
                        <w:szCs w:val="28"/>
                      </w:rPr>
                      <w:t xml:space="preserve">Ficha Municipio </w:t>
                    </w:r>
                    <w:r w:rsidR="0022179C">
                      <w:rPr>
                        <w:color w:val="000000" w:themeColor="text1"/>
                        <w:sz w:val="28"/>
                        <w:szCs w:val="28"/>
                      </w:rPr>
                      <w:t>Uramita</w:t>
                    </w:r>
                  </w:p>
                </w:txbxContent>
              </v:textbox>
            </v:shape>
          </w:pict>
        </mc:Fallback>
      </mc:AlternateContent>
    </w:r>
    <w:r w:rsidRPr="001B18EF"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015C3FBD" wp14:editId="7BF962BD">
          <wp:simplePos x="0" y="0"/>
          <wp:positionH relativeFrom="column">
            <wp:posOffset>3844925</wp:posOffset>
          </wp:positionH>
          <wp:positionV relativeFrom="paragraph">
            <wp:posOffset>-174224</wp:posOffset>
          </wp:positionV>
          <wp:extent cx="2125345" cy="612775"/>
          <wp:effectExtent l="0" t="0" r="0" b="0"/>
          <wp:wrapSquare wrapText="bothSides"/>
          <wp:docPr id="866569291" name="Picture 9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6569291" name="Picture 9" descr="A black and grey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5345" cy="612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32A4"/>
    <w:multiLevelType w:val="multilevel"/>
    <w:tmpl w:val="0586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659F7"/>
    <w:multiLevelType w:val="multilevel"/>
    <w:tmpl w:val="67CE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33B35"/>
    <w:multiLevelType w:val="multilevel"/>
    <w:tmpl w:val="36A6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D2812"/>
    <w:multiLevelType w:val="multilevel"/>
    <w:tmpl w:val="DEEC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23C47"/>
    <w:multiLevelType w:val="hybridMultilevel"/>
    <w:tmpl w:val="7FE05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8979AE"/>
    <w:multiLevelType w:val="hybridMultilevel"/>
    <w:tmpl w:val="80BE88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127BE5"/>
    <w:multiLevelType w:val="hybridMultilevel"/>
    <w:tmpl w:val="B8A64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1539E3"/>
    <w:multiLevelType w:val="multilevel"/>
    <w:tmpl w:val="4184EB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684DE7"/>
    <w:multiLevelType w:val="multilevel"/>
    <w:tmpl w:val="D8FE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3F7B2C"/>
    <w:multiLevelType w:val="multilevel"/>
    <w:tmpl w:val="4184EB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48177E"/>
    <w:multiLevelType w:val="multilevel"/>
    <w:tmpl w:val="E5B2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7704">
    <w:abstractNumId w:val="4"/>
  </w:num>
  <w:num w:numId="2" w16cid:durableId="1017347282">
    <w:abstractNumId w:val="6"/>
  </w:num>
  <w:num w:numId="3" w16cid:durableId="139880706">
    <w:abstractNumId w:val="10"/>
  </w:num>
  <w:num w:numId="4" w16cid:durableId="1002395279">
    <w:abstractNumId w:val="3"/>
  </w:num>
  <w:num w:numId="5" w16cid:durableId="74599418">
    <w:abstractNumId w:val="8"/>
  </w:num>
  <w:num w:numId="6" w16cid:durableId="738556425">
    <w:abstractNumId w:val="1"/>
  </w:num>
  <w:num w:numId="7" w16cid:durableId="149954625">
    <w:abstractNumId w:val="7"/>
  </w:num>
  <w:num w:numId="8" w16cid:durableId="1103109470">
    <w:abstractNumId w:val="9"/>
  </w:num>
  <w:num w:numId="9" w16cid:durableId="1536189407">
    <w:abstractNumId w:val="0"/>
  </w:num>
  <w:num w:numId="10" w16cid:durableId="845362966">
    <w:abstractNumId w:val="2"/>
  </w:num>
  <w:num w:numId="11" w16cid:durableId="5819602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60"/>
    <w:rsid w:val="00042DD7"/>
    <w:rsid w:val="00063ED2"/>
    <w:rsid w:val="00084B98"/>
    <w:rsid w:val="000D1E67"/>
    <w:rsid w:val="000F6735"/>
    <w:rsid w:val="00120797"/>
    <w:rsid w:val="00134527"/>
    <w:rsid w:val="002038BA"/>
    <w:rsid w:val="00211E44"/>
    <w:rsid w:val="0022179C"/>
    <w:rsid w:val="0023618C"/>
    <w:rsid w:val="002C5808"/>
    <w:rsid w:val="003154C0"/>
    <w:rsid w:val="00340F0A"/>
    <w:rsid w:val="003650D0"/>
    <w:rsid w:val="003A7CEA"/>
    <w:rsid w:val="003B599D"/>
    <w:rsid w:val="003E2241"/>
    <w:rsid w:val="004107CA"/>
    <w:rsid w:val="004A3A13"/>
    <w:rsid w:val="005422DF"/>
    <w:rsid w:val="0059338F"/>
    <w:rsid w:val="005C20CA"/>
    <w:rsid w:val="005F7A75"/>
    <w:rsid w:val="00605B4C"/>
    <w:rsid w:val="00661578"/>
    <w:rsid w:val="00665846"/>
    <w:rsid w:val="006A249B"/>
    <w:rsid w:val="00707E60"/>
    <w:rsid w:val="0079581D"/>
    <w:rsid w:val="007A49F6"/>
    <w:rsid w:val="00813F67"/>
    <w:rsid w:val="0084474E"/>
    <w:rsid w:val="00844CC8"/>
    <w:rsid w:val="00845F02"/>
    <w:rsid w:val="00912DFC"/>
    <w:rsid w:val="00963712"/>
    <w:rsid w:val="009714F4"/>
    <w:rsid w:val="009D1F9E"/>
    <w:rsid w:val="00A27409"/>
    <w:rsid w:val="00A456B7"/>
    <w:rsid w:val="00A55C9A"/>
    <w:rsid w:val="00A60686"/>
    <w:rsid w:val="00A96461"/>
    <w:rsid w:val="00AA16EF"/>
    <w:rsid w:val="00B037CD"/>
    <w:rsid w:val="00BE54CF"/>
    <w:rsid w:val="00C04706"/>
    <w:rsid w:val="00C942B0"/>
    <w:rsid w:val="00C969A1"/>
    <w:rsid w:val="00D37EF2"/>
    <w:rsid w:val="00DB14E5"/>
    <w:rsid w:val="00E20840"/>
    <w:rsid w:val="00E52944"/>
    <w:rsid w:val="00E608BE"/>
    <w:rsid w:val="00F27231"/>
    <w:rsid w:val="00F65205"/>
    <w:rsid w:val="00FA20FB"/>
    <w:rsid w:val="00FD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2BB83"/>
  <w15:chartTrackingRefBased/>
  <w15:docId w15:val="{AC92E50B-06D8-7E40-8625-54C1C7854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E60"/>
    <w:pPr>
      <w:spacing w:after="160" w:line="259" w:lineRule="auto"/>
    </w:pPr>
    <w:rPr>
      <w:rFonts w:eastAsiaTheme="minorHAnsi"/>
      <w:sz w:val="22"/>
      <w:szCs w:val="22"/>
      <w:lang w:val="es-CO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E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E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E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E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E6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E6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E60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E60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E60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E60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E60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E60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E60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707E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E60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E6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70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E60"/>
    <w:rPr>
      <w:i/>
      <w:iCs/>
      <w:color w:val="404040" w:themeColor="text1" w:themeTint="BF"/>
      <w:lang w:val="es-ES"/>
    </w:rPr>
  </w:style>
  <w:style w:type="paragraph" w:styleId="ListParagraph">
    <w:name w:val="List Paragraph"/>
    <w:aliases w:val="Numerado informes,Bibliografía Tesis,Figuras,parrafo,Bolita,Viñeta 4ta"/>
    <w:basedOn w:val="Normal"/>
    <w:link w:val="ListParagraphChar"/>
    <w:uiPriority w:val="34"/>
    <w:qFormat/>
    <w:rsid w:val="00707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E60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707E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7E60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E60"/>
    <w:rPr>
      <w:lang w:val="es-ES"/>
    </w:rPr>
  </w:style>
  <w:style w:type="paragraph" w:styleId="NoSpacing">
    <w:name w:val="No Spacing"/>
    <w:uiPriority w:val="1"/>
    <w:qFormat/>
    <w:rsid w:val="00707E60"/>
    <w:rPr>
      <w:rFonts w:eastAsiaTheme="minorHAnsi"/>
      <w:kern w:val="2"/>
      <w:sz w:val="22"/>
      <w:szCs w:val="22"/>
      <w:lang w:val="es-CO" w:eastAsia="en-US"/>
      <w14:ligatures w14:val="standardContextual"/>
    </w:rPr>
  </w:style>
  <w:style w:type="character" w:customStyle="1" w:styleId="ListParagraphChar">
    <w:name w:val="List Paragraph Char"/>
    <w:aliases w:val="Numerado informes Char,Bibliografía Tesis Char,Figuras Char,parrafo Char,Bolita Char,Viñeta 4ta Char"/>
    <w:link w:val="ListParagraph"/>
    <w:uiPriority w:val="34"/>
    <w:locked/>
    <w:rsid w:val="00707E60"/>
    <w:rPr>
      <w:lang w:val="es-ES"/>
    </w:rPr>
  </w:style>
  <w:style w:type="character" w:styleId="PageNumber">
    <w:name w:val="page number"/>
    <w:basedOn w:val="DefaultParagraphFont"/>
    <w:uiPriority w:val="99"/>
    <w:semiHidden/>
    <w:unhideWhenUsed/>
    <w:rsid w:val="00707E60"/>
  </w:style>
  <w:style w:type="character" w:styleId="Strong">
    <w:name w:val="Strong"/>
    <w:basedOn w:val="DefaultParagraphFont"/>
    <w:uiPriority w:val="22"/>
    <w:qFormat/>
    <w:rsid w:val="009637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Sofia Herazo Castelblanco</dc:creator>
  <cp:keywords/>
  <dc:description/>
  <cp:lastModifiedBy>Ana Sofia Herazo Castelblanco</cp:lastModifiedBy>
  <cp:revision>19</cp:revision>
  <dcterms:created xsi:type="dcterms:W3CDTF">2025-10-23T17:12:00Z</dcterms:created>
  <dcterms:modified xsi:type="dcterms:W3CDTF">2025-11-12T12:40:00Z</dcterms:modified>
</cp:coreProperties>
</file>