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402A5E" w14:textId="77777777" w:rsidR="004107CA" w:rsidRDefault="004107CA"/>
    <w:p w14:paraId="69C464BD" w14:textId="77777777" w:rsidR="00707E60" w:rsidRDefault="00707E60"/>
    <w:p w14:paraId="7C41B434" w14:textId="77777777" w:rsidR="00707E60" w:rsidRDefault="00707E60"/>
    <w:p w14:paraId="65123F46" w14:textId="77777777" w:rsidR="00707E60" w:rsidRDefault="00707E60"/>
    <w:p w14:paraId="4234CDFE" w14:textId="77777777" w:rsidR="00707E60" w:rsidRDefault="00707E60"/>
    <w:p w14:paraId="7411AD1A" w14:textId="73CF28AB" w:rsidR="00707E60" w:rsidRDefault="00707E60"/>
    <w:p w14:paraId="33230097" w14:textId="669EDDD4" w:rsidR="00707E60" w:rsidRDefault="00707E60" w:rsidP="00707E60">
      <w:pPr>
        <w:jc w:val="center"/>
      </w:pPr>
    </w:p>
    <w:p w14:paraId="524EFE21" w14:textId="331BC161" w:rsidR="00707E60" w:rsidRDefault="00707E60" w:rsidP="00707E60">
      <w:pPr>
        <w:pStyle w:val="NoSpacing"/>
        <w:jc w:val="center"/>
        <w:rPr>
          <w:b/>
          <w:bCs/>
          <w:color w:val="002060"/>
          <w:sz w:val="56"/>
          <w:szCs w:val="56"/>
        </w:rPr>
      </w:pPr>
    </w:p>
    <w:p w14:paraId="06CCB526" w14:textId="4AD669AC" w:rsidR="00707E60" w:rsidRDefault="00707E60" w:rsidP="00707E60">
      <w:pPr>
        <w:pStyle w:val="NoSpacing"/>
        <w:jc w:val="center"/>
        <w:rPr>
          <w:b/>
          <w:bCs/>
          <w:color w:val="002060"/>
          <w:sz w:val="56"/>
          <w:szCs w:val="56"/>
        </w:rPr>
      </w:pPr>
      <w:r w:rsidRPr="001B18EF">
        <w:rPr>
          <w:noProof/>
          <w:lang w:eastAsia="es-CO"/>
        </w:rPr>
        <w:drawing>
          <wp:anchor distT="0" distB="0" distL="114300" distR="114300" simplePos="0" relativeHeight="251659264" behindDoc="0" locked="0" layoutInCell="1" allowOverlap="1" wp14:anchorId="2C40115D" wp14:editId="24C321DE">
            <wp:simplePos x="0" y="0"/>
            <wp:positionH relativeFrom="column">
              <wp:posOffset>1302151</wp:posOffset>
            </wp:positionH>
            <wp:positionV relativeFrom="paragraph">
              <wp:posOffset>166370</wp:posOffset>
            </wp:positionV>
            <wp:extent cx="3268980" cy="942975"/>
            <wp:effectExtent l="0" t="0" r="0" b="0"/>
            <wp:wrapSquare wrapText="bothSides"/>
            <wp:docPr id="719188107" name="Picture 9" descr="A black and grey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569291" name="Picture 9" descr="A black and grey logo&#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268980" cy="9429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1F0E95E" w14:textId="0BCC274E" w:rsidR="00707E60" w:rsidRDefault="00707E60" w:rsidP="00707E60">
      <w:pPr>
        <w:pStyle w:val="NoSpacing"/>
        <w:jc w:val="center"/>
        <w:rPr>
          <w:b/>
          <w:bCs/>
          <w:color w:val="002060"/>
          <w:sz w:val="56"/>
          <w:szCs w:val="56"/>
        </w:rPr>
      </w:pPr>
    </w:p>
    <w:p w14:paraId="5CC9BDC5" w14:textId="2A351149" w:rsidR="00707E60" w:rsidRDefault="00707E60" w:rsidP="00707E60">
      <w:pPr>
        <w:pStyle w:val="NoSpacing"/>
        <w:jc w:val="center"/>
        <w:rPr>
          <w:b/>
          <w:bCs/>
          <w:color w:val="002060"/>
          <w:sz w:val="56"/>
          <w:szCs w:val="56"/>
        </w:rPr>
      </w:pPr>
    </w:p>
    <w:p w14:paraId="54E972D6" w14:textId="77777777" w:rsidR="00DD0016" w:rsidRDefault="00DD0016" w:rsidP="00DD0016">
      <w:pPr>
        <w:pStyle w:val="NoSpacing"/>
        <w:jc w:val="center"/>
        <w:rPr>
          <w:b/>
          <w:bCs/>
          <w:color w:val="000000" w:themeColor="text1"/>
          <w:sz w:val="56"/>
          <w:szCs w:val="56"/>
        </w:rPr>
      </w:pPr>
      <w:r w:rsidRPr="00AB4389">
        <w:rPr>
          <w:b/>
          <w:bCs/>
          <w:color w:val="000000" w:themeColor="text1"/>
          <w:sz w:val="56"/>
          <w:szCs w:val="56"/>
        </w:rPr>
        <w:t>Análisis Jurídico de Estatuto Tributario</w:t>
      </w:r>
    </w:p>
    <w:p w14:paraId="68B285CD" w14:textId="77777777" w:rsidR="00707E60" w:rsidRPr="00707E60" w:rsidRDefault="00707E60" w:rsidP="00707E60">
      <w:pPr>
        <w:pStyle w:val="NoSpacing"/>
        <w:jc w:val="center"/>
        <w:rPr>
          <w:color w:val="000000" w:themeColor="text1"/>
          <w:sz w:val="72"/>
          <w:szCs w:val="72"/>
        </w:rPr>
      </w:pPr>
    </w:p>
    <w:p w14:paraId="2FE843B9" w14:textId="5280FEC5" w:rsidR="00707E60" w:rsidRPr="00707E60" w:rsidRDefault="00707E60" w:rsidP="00707E60">
      <w:pPr>
        <w:pStyle w:val="NoSpacing"/>
        <w:jc w:val="center"/>
        <w:rPr>
          <w:color w:val="000000" w:themeColor="text1"/>
          <w:sz w:val="44"/>
          <w:szCs w:val="44"/>
        </w:rPr>
      </w:pPr>
      <w:r w:rsidRPr="00707E60">
        <w:rPr>
          <w:color w:val="000000" w:themeColor="text1"/>
          <w:sz w:val="44"/>
          <w:szCs w:val="44"/>
        </w:rPr>
        <w:t xml:space="preserve">Municipio: </w:t>
      </w:r>
      <w:r w:rsidR="001C6F8E">
        <w:rPr>
          <w:color w:val="000000" w:themeColor="text1"/>
          <w:sz w:val="44"/>
          <w:szCs w:val="44"/>
        </w:rPr>
        <w:t xml:space="preserve">Valdivia </w:t>
      </w:r>
    </w:p>
    <w:p w14:paraId="3460615A" w14:textId="77777777" w:rsidR="00707E60" w:rsidRPr="00707E60" w:rsidRDefault="00707E60"/>
    <w:p w14:paraId="0107F43B" w14:textId="77777777" w:rsidR="00707E60" w:rsidRDefault="00707E60"/>
    <w:p w14:paraId="6154161F" w14:textId="77777777" w:rsidR="00707E60" w:rsidRDefault="00707E60"/>
    <w:p w14:paraId="7789B689" w14:textId="77777777" w:rsidR="00707E60" w:rsidRDefault="00707E60"/>
    <w:p w14:paraId="422FC476" w14:textId="77777777" w:rsidR="00707E60" w:rsidRDefault="00707E60"/>
    <w:p w14:paraId="74370256" w14:textId="77777777" w:rsidR="00707E60" w:rsidRDefault="00707E60"/>
    <w:p w14:paraId="25496B82" w14:textId="77777777" w:rsidR="00707E60" w:rsidRDefault="00707E60"/>
    <w:p w14:paraId="0E10EFE4" w14:textId="77777777" w:rsidR="00707E60" w:rsidRDefault="00707E60"/>
    <w:p w14:paraId="5C9DCB25" w14:textId="77777777" w:rsidR="00707E60" w:rsidRDefault="00707E60"/>
    <w:p w14:paraId="0BAE53EE" w14:textId="77777777" w:rsidR="001C6F8E" w:rsidRPr="001C6F8E" w:rsidRDefault="001C6F8E" w:rsidP="001C6F8E">
      <w:pPr>
        <w:spacing w:line="360" w:lineRule="auto"/>
        <w:jc w:val="both"/>
        <w:rPr>
          <w:rFonts w:ascii="Aptos" w:hAnsi="Aptos" w:cs="Times New Roman"/>
        </w:rPr>
      </w:pPr>
      <w:r w:rsidRPr="001C6F8E">
        <w:rPr>
          <w:rFonts w:ascii="Aptos" w:hAnsi="Aptos" w:cs="Times New Roman"/>
        </w:rPr>
        <w:lastRenderedPageBreak/>
        <w:t>El estado actual de su normatividad tributaria se establece en el acuerdo: 029 de 2020, modificado por el acuerdo 063 de 2021.</w:t>
      </w:r>
    </w:p>
    <w:p w14:paraId="39D68576" w14:textId="77777777" w:rsidR="001C6F8E" w:rsidRPr="001C6F8E" w:rsidRDefault="001C6F8E" w:rsidP="001C6F8E">
      <w:pPr>
        <w:spacing w:line="360" w:lineRule="auto"/>
        <w:jc w:val="both"/>
        <w:rPr>
          <w:rFonts w:ascii="Aptos" w:hAnsi="Aptos" w:cs="Times New Roman"/>
          <w:b/>
          <w:bCs/>
          <w:sz w:val="32"/>
          <w:szCs w:val="32"/>
        </w:rPr>
      </w:pPr>
      <w:r w:rsidRPr="001C6F8E">
        <w:rPr>
          <w:rFonts w:ascii="Aptos" w:hAnsi="Aptos" w:cs="Times New Roman"/>
          <w:b/>
          <w:bCs/>
          <w:sz w:val="32"/>
          <w:szCs w:val="32"/>
        </w:rPr>
        <w:t>Hallazgos</w:t>
      </w:r>
    </w:p>
    <w:p w14:paraId="75CADBF3" w14:textId="77777777" w:rsidR="001C6F8E" w:rsidRPr="001C6F8E" w:rsidRDefault="001C6F8E" w:rsidP="001C6F8E">
      <w:pPr>
        <w:numPr>
          <w:ilvl w:val="0"/>
          <w:numId w:val="27"/>
        </w:numPr>
        <w:spacing w:line="360" w:lineRule="auto"/>
        <w:jc w:val="both"/>
        <w:rPr>
          <w:rFonts w:ascii="Aptos" w:hAnsi="Aptos" w:cs="Times New Roman"/>
        </w:rPr>
      </w:pPr>
      <w:r w:rsidRPr="001C6F8E">
        <w:rPr>
          <w:rFonts w:ascii="Aptos" w:hAnsi="Aptos" w:cs="Times New Roman"/>
        </w:rPr>
        <w:t>La tabla de destinos económicos no contempla las modificaciones introducidas por la Resolución 2025060163216 del 14 de marzo de 2025, en la que se redefinen los destinos económicos en los municipios del departamento de Antioquia conforme al modelo LADM-COL versión 4.1. Esta omisión implica un riesgo fiscal por no contar con tarifas para los nuevos destinos; el Municipio podría perder recursos por ausencia de un elemento esencial del tributo.</w:t>
      </w:r>
    </w:p>
    <w:p w14:paraId="0265028D" w14:textId="77777777" w:rsidR="001C6F8E" w:rsidRPr="001C6F8E" w:rsidRDefault="001C6F8E" w:rsidP="001C6F8E">
      <w:pPr>
        <w:numPr>
          <w:ilvl w:val="0"/>
          <w:numId w:val="27"/>
        </w:numPr>
        <w:spacing w:line="360" w:lineRule="auto"/>
        <w:jc w:val="both"/>
        <w:rPr>
          <w:rFonts w:ascii="Aptos" w:hAnsi="Aptos" w:cs="Times New Roman"/>
        </w:rPr>
      </w:pPr>
      <w:r w:rsidRPr="001C6F8E">
        <w:rPr>
          <w:rFonts w:ascii="Aptos" w:hAnsi="Aptos" w:cs="Times New Roman"/>
        </w:rPr>
        <w:t>Desactualización normativa: el capítulo del IPU se fundamenta en la Resolución 070 de 2011, modificada por la Resolución 1040 de 2023.</w:t>
      </w:r>
    </w:p>
    <w:p w14:paraId="781F85B4" w14:textId="77777777" w:rsidR="001C6F8E" w:rsidRPr="001C6F8E" w:rsidRDefault="001C6F8E" w:rsidP="001C6F8E">
      <w:pPr>
        <w:numPr>
          <w:ilvl w:val="0"/>
          <w:numId w:val="27"/>
        </w:numPr>
        <w:spacing w:line="360" w:lineRule="auto"/>
        <w:jc w:val="both"/>
        <w:rPr>
          <w:rFonts w:ascii="Aptos" w:hAnsi="Aptos" w:cs="Times New Roman"/>
        </w:rPr>
      </w:pPr>
      <w:r w:rsidRPr="001C6F8E">
        <w:rPr>
          <w:rFonts w:ascii="Aptos" w:hAnsi="Aptos" w:cs="Times New Roman"/>
        </w:rPr>
        <w:t>Clasificación de suelo: se consideran urbanos los inmuebles rurales destinados a fincas de recreo, con posible contradicción frente a destinos económicos definidos por IGAC.</w:t>
      </w:r>
    </w:p>
    <w:p w14:paraId="6C594A38" w14:textId="77777777" w:rsidR="001C6F8E" w:rsidRPr="001C6F8E" w:rsidRDefault="001C6F8E" w:rsidP="001C6F8E">
      <w:pPr>
        <w:numPr>
          <w:ilvl w:val="0"/>
          <w:numId w:val="27"/>
        </w:numPr>
        <w:spacing w:line="360" w:lineRule="auto"/>
        <w:jc w:val="both"/>
        <w:rPr>
          <w:rFonts w:ascii="Aptos" w:hAnsi="Aptos" w:cs="Times New Roman"/>
        </w:rPr>
      </w:pPr>
      <w:r w:rsidRPr="001C6F8E">
        <w:rPr>
          <w:rFonts w:ascii="Aptos" w:hAnsi="Aptos" w:cs="Times New Roman"/>
        </w:rPr>
        <w:t>Tarifas: aplicación de tarifa máxima a usos no permitidos en el POT y tarifas altas para el destino habitacional, generando incertidumbre y posibles cuestionamientos.</w:t>
      </w:r>
    </w:p>
    <w:p w14:paraId="38813277" w14:textId="77777777" w:rsidR="001C6F8E" w:rsidRPr="001C6F8E" w:rsidRDefault="001C6F8E" w:rsidP="001C6F8E">
      <w:pPr>
        <w:numPr>
          <w:ilvl w:val="0"/>
          <w:numId w:val="27"/>
        </w:numPr>
        <w:spacing w:line="360" w:lineRule="auto"/>
        <w:jc w:val="both"/>
        <w:rPr>
          <w:rFonts w:ascii="Aptos" w:hAnsi="Aptos" w:cs="Times New Roman"/>
        </w:rPr>
      </w:pPr>
      <w:r w:rsidRPr="001C6F8E">
        <w:rPr>
          <w:rFonts w:ascii="Aptos" w:hAnsi="Aptos" w:cs="Times New Roman"/>
        </w:rPr>
        <w:t>Figuras que comprometen recaudo: compensación del IPU por áreas de retiro obligatorio y no liquidación a predios entregados anticipadamente para utilidad pública; riesgo de confusión y pérdida de ingresos.</w:t>
      </w:r>
    </w:p>
    <w:p w14:paraId="4F79DD44" w14:textId="77777777" w:rsidR="001C6F8E" w:rsidRPr="001C6F8E" w:rsidRDefault="001C6F8E" w:rsidP="001C6F8E">
      <w:pPr>
        <w:numPr>
          <w:ilvl w:val="0"/>
          <w:numId w:val="27"/>
        </w:numPr>
        <w:spacing w:line="360" w:lineRule="auto"/>
        <w:jc w:val="both"/>
        <w:rPr>
          <w:rFonts w:ascii="Aptos" w:hAnsi="Aptos" w:cs="Times New Roman"/>
        </w:rPr>
      </w:pPr>
      <w:r w:rsidRPr="001C6F8E">
        <w:rPr>
          <w:rFonts w:ascii="Aptos" w:hAnsi="Aptos" w:cs="Times New Roman"/>
        </w:rPr>
        <w:t>Beneficios: descuento hasta 50 % por conservación; exclusión a víctimas de desplazamiento sin término de duración definido, con riesgo fiscal si el predio retorna a sus propietarios.</w:t>
      </w:r>
    </w:p>
    <w:p w14:paraId="112A51F9" w14:textId="77777777" w:rsidR="001C6F8E" w:rsidRPr="001C6F8E" w:rsidRDefault="001C6F8E" w:rsidP="001C6F8E">
      <w:pPr>
        <w:numPr>
          <w:ilvl w:val="0"/>
          <w:numId w:val="27"/>
        </w:numPr>
        <w:spacing w:line="360" w:lineRule="auto"/>
        <w:jc w:val="both"/>
        <w:rPr>
          <w:rFonts w:ascii="Aptos" w:hAnsi="Aptos" w:cs="Times New Roman"/>
        </w:rPr>
      </w:pPr>
      <w:r w:rsidRPr="001C6F8E">
        <w:rPr>
          <w:rFonts w:ascii="Aptos" w:hAnsi="Aptos" w:cs="Times New Roman"/>
        </w:rPr>
        <w:t>Gravamen prohibido: la prohibición a entidades religiosas se extiende a todos los tributos con base en avalúo catastral (incluye bomberil y alumbrado), con impacto potencial en ingresos.</w:t>
      </w:r>
    </w:p>
    <w:p w14:paraId="1F976FE3" w14:textId="77777777" w:rsidR="001C6F8E" w:rsidRPr="001C6F8E" w:rsidRDefault="001C6F8E" w:rsidP="001C6F8E">
      <w:pPr>
        <w:numPr>
          <w:ilvl w:val="0"/>
          <w:numId w:val="27"/>
        </w:numPr>
        <w:spacing w:line="360" w:lineRule="auto"/>
        <w:jc w:val="both"/>
        <w:rPr>
          <w:rFonts w:ascii="Aptos" w:hAnsi="Aptos" w:cs="Times New Roman"/>
        </w:rPr>
      </w:pPr>
      <w:r w:rsidRPr="001C6F8E">
        <w:rPr>
          <w:rFonts w:ascii="Aptos" w:hAnsi="Aptos" w:cs="Times New Roman"/>
        </w:rPr>
        <w:t>Sobretasa bomberil (art. 142): se indica como hecho generador el IPU (elementos del IPU), pero se fija tarifa de 1‰ sobre el avalúo, generando incoherencia entre hecho generador y base gravable.</w:t>
      </w:r>
    </w:p>
    <w:p w14:paraId="0FAC144F" w14:textId="77777777" w:rsidR="001C6F8E" w:rsidRPr="001C6F8E" w:rsidRDefault="001C6F8E" w:rsidP="001C6F8E">
      <w:pPr>
        <w:numPr>
          <w:ilvl w:val="0"/>
          <w:numId w:val="27"/>
        </w:numPr>
        <w:spacing w:line="360" w:lineRule="auto"/>
        <w:jc w:val="both"/>
        <w:rPr>
          <w:rFonts w:ascii="Aptos" w:hAnsi="Aptos" w:cs="Times New Roman"/>
        </w:rPr>
      </w:pPr>
      <w:r w:rsidRPr="001C6F8E">
        <w:rPr>
          <w:rFonts w:ascii="Aptos" w:hAnsi="Aptos" w:cs="Times New Roman"/>
        </w:rPr>
        <w:lastRenderedPageBreak/>
        <w:t>Alumbrado público: cobro por rangos de avalúo con 1‰ sobre el avalúo, con referencia al art. 349 de la Ley 1819 de 2016.</w:t>
      </w:r>
    </w:p>
    <w:p w14:paraId="5793E10E" w14:textId="77777777" w:rsidR="001C6F8E" w:rsidRPr="001C6F8E" w:rsidRDefault="001C6F8E" w:rsidP="001C6F8E">
      <w:pPr>
        <w:numPr>
          <w:ilvl w:val="0"/>
          <w:numId w:val="27"/>
        </w:numPr>
        <w:spacing w:line="360" w:lineRule="auto"/>
        <w:jc w:val="both"/>
        <w:rPr>
          <w:rFonts w:ascii="Aptos" w:hAnsi="Aptos" w:cs="Times New Roman"/>
        </w:rPr>
      </w:pPr>
      <w:r w:rsidRPr="001C6F8E">
        <w:rPr>
          <w:rFonts w:ascii="Aptos" w:hAnsi="Aptos" w:cs="Times New Roman"/>
        </w:rPr>
        <w:t>Gestión y cobro: adopción de determinación oficial vía factura, cobro trimestral, pronto pago 10 %; reconoce límites de Ley 1995, sin límites para rezago catastral.</w:t>
      </w:r>
    </w:p>
    <w:p w14:paraId="5F2DC56E" w14:textId="77777777" w:rsidR="001C6F8E" w:rsidRPr="001C6F8E" w:rsidRDefault="001C6F8E" w:rsidP="001C6F8E">
      <w:pPr>
        <w:numPr>
          <w:ilvl w:val="0"/>
          <w:numId w:val="27"/>
        </w:numPr>
        <w:spacing w:line="360" w:lineRule="auto"/>
        <w:jc w:val="both"/>
        <w:rPr>
          <w:rFonts w:ascii="Aptos" w:hAnsi="Aptos" w:cs="Times New Roman"/>
        </w:rPr>
      </w:pPr>
      <w:r w:rsidRPr="001C6F8E">
        <w:rPr>
          <w:rFonts w:ascii="Aptos" w:hAnsi="Aptos" w:cs="Times New Roman"/>
        </w:rPr>
        <w:t xml:space="preserve">Exenciones: </w:t>
      </w:r>
      <w:r w:rsidRPr="001C6F8E">
        <w:rPr>
          <w:rFonts w:ascii="Aptos" w:hAnsi="Aptos" w:cs="Times New Roman"/>
          <w:b/>
          <w:bCs/>
        </w:rPr>
        <w:t>A</w:t>
      </w:r>
      <w:r w:rsidRPr="001C6F8E">
        <w:rPr>
          <w:rFonts w:ascii="Aptos" w:hAnsi="Aptos" w:cs="Times New Roman"/>
        </w:rPr>
        <w:t xml:space="preserve">. Los inmuebles de propiedad de las corporaciones autónomas, destinados a la conservación de hoyas, laderas, escarpas, canales y conducción de aguas, embalses, colectores de alcantarillado, tanques y plantas de purificación de aguas residuales. </w:t>
      </w:r>
      <w:r w:rsidRPr="001C6F8E">
        <w:rPr>
          <w:rFonts w:ascii="Aptos" w:hAnsi="Aptos" w:cs="Times New Roman"/>
          <w:b/>
          <w:bCs/>
        </w:rPr>
        <w:t xml:space="preserve">B. </w:t>
      </w:r>
      <w:r w:rsidRPr="001C6F8E">
        <w:rPr>
          <w:rFonts w:ascii="Aptos" w:hAnsi="Aptos" w:cs="Times New Roman"/>
        </w:rPr>
        <w:t>Todas las áreas de conservación de aguas, fauna y flora reglamentadas por el Concejo Municipal</w:t>
      </w:r>
    </w:p>
    <w:p w14:paraId="79FBE3A6" w14:textId="77777777" w:rsidR="001C6F8E" w:rsidRPr="001C6F8E" w:rsidRDefault="001C6F8E" w:rsidP="001C6F8E">
      <w:pPr>
        <w:spacing w:line="360" w:lineRule="auto"/>
        <w:jc w:val="both"/>
        <w:rPr>
          <w:rFonts w:ascii="Aptos" w:hAnsi="Aptos" w:cs="Times New Roman"/>
          <w:b/>
          <w:bCs/>
          <w:sz w:val="32"/>
          <w:szCs w:val="32"/>
        </w:rPr>
      </w:pPr>
      <w:r w:rsidRPr="001C6F8E">
        <w:rPr>
          <w:rFonts w:ascii="Aptos" w:hAnsi="Aptos" w:cs="Times New Roman"/>
          <w:b/>
          <w:bCs/>
          <w:sz w:val="32"/>
          <w:szCs w:val="32"/>
        </w:rPr>
        <w:t>Recomendaciones</w:t>
      </w:r>
    </w:p>
    <w:p w14:paraId="4F595D93" w14:textId="77777777" w:rsidR="001C6F8E" w:rsidRPr="001C6F8E" w:rsidRDefault="001C6F8E" w:rsidP="001C6F8E">
      <w:pPr>
        <w:numPr>
          <w:ilvl w:val="0"/>
          <w:numId w:val="28"/>
        </w:numPr>
        <w:spacing w:line="360" w:lineRule="auto"/>
        <w:jc w:val="both"/>
        <w:rPr>
          <w:rFonts w:ascii="Aptos" w:hAnsi="Aptos" w:cs="Times New Roman"/>
        </w:rPr>
      </w:pPr>
      <w:r w:rsidRPr="001C6F8E">
        <w:rPr>
          <w:rFonts w:ascii="Aptos" w:hAnsi="Aptos" w:cs="Times New Roman"/>
        </w:rPr>
        <w:t>“Adelantar un proceso de actualización normativa que le permita armonizar su regulación con las disposiciones nacionales más recientes. En particular, resulta prioritario adoptar los lineamientos de la Resolución 1040 de 2023 en materia de catastro, así como actualizar la tabla de destinos económicos conforme a la Resolución 2025060163216. Esto garantizará que todos los destinos contemplados en el modelo LADM-COL versión 4.1, cuenten con una tarifa definida, evitando la pérdida de ingresos fiscales.”</w:t>
      </w:r>
    </w:p>
    <w:p w14:paraId="3267BD6D" w14:textId="77777777" w:rsidR="001C6F8E" w:rsidRPr="001C6F8E" w:rsidRDefault="001C6F8E" w:rsidP="001C6F8E">
      <w:pPr>
        <w:numPr>
          <w:ilvl w:val="0"/>
          <w:numId w:val="28"/>
        </w:numPr>
        <w:spacing w:line="360" w:lineRule="auto"/>
        <w:jc w:val="both"/>
        <w:rPr>
          <w:rFonts w:ascii="Aptos" w:hAnsi="Aptos" w:cs="Times New Roman"/>
        </w:rPr>
      </w:pPr>
      <w:r w:rsidRPr="001C6F8E">
        <w:rPr>
          <w:rFonts w:ascii="Aptos" w:hAnsi="Aptos" w:cs="Times New Roman"/>
        </w:rPr>
        <w:t>Actualizar el soporte normativo del capítulo del IPU (remisiones a Res. 070 de 2011) y alinear la estructura a Res. 1040 de 2023, reforzando coherencia técnica.</w:t>
      </w:r>
    </w:p>
    <w:p w14:paraId="50DABD16" w14:textId="77777777" w:rsidR="001C6F8E" w:rsidRPr="001C6F8E" w:rsidRDefault="001C6F8E" w:rsidP="001C6F8E">
      <w:pPr>
        <w:numPr>
          <w:ilvl w:val="0"/>
          <w:numId w:val="28"/>
        </w:numPr>
        <w:spacing w:line="360" w:lineRule="auto"/>
        <w:jc w:val="both"/>
        <w:rPr>
          <w:rFonts w:ascii="Aptos" w:hAnsi="Aptos" w:cs="Times New Roman"/>
        </w:rPr>
      </w:pPr>
      <w:r w:rsidRPr="001C6F8E">
        <w:rPr>
          <w:rFonts w:ascii="Aptos" w:hAnsi="Aptos" w:cs="Times New Roman"/>
        </w:rPr>
        <w:t>Revisar la regla que clasifica como urbanos los rurales de recreo, para evitar contradicciones con los destinos económicos del IGAC y asegurar seguridad jurídica.</w:t>
      </w:r>
    </w:p>
    <w:p w14:paraId="7294E18F" w14:textId="77777777" w:rsidR="001C6F8E" w:rsidRPr="001C6F8E" w:rsidRDefault="001C6F8E" w:rsidP="001C6F8E">
      <w:pPr>
        <w:numPr>
          <w:ilvl w:val="0"/>
          <w:numId w:val="28"/>
        </w:numPr>
        <w:spacing w:line="360" w:lineRule="auto"/>
        <w:jc w:val="both"/>
        <w:rPr>
          <w:rFonts w:ascii="Aptos" w:hAnsi="Aptos" w:cs="Times New Roman"/>
        </w:rPr>
      </w:pPr>
      <w:r w:rsidRPr="001C6F8E">
        <w:rPr>
          <w:rFonts w:ascii="Aptos" w:hAnsi="Aptos" w:cs="Times New Roman"/>
        </w:rPr>
        <w:t>Precisar el tratamiento de usos no permitidos (POT) y revisar niveles tarifarios del destino habitacional, estableciendo reglas claras que brinden certeza a administración y contribuyentes.</w:t>
      </w:r>
    </w:p>
    <w:p w14:paraId="549E32B8" w14:textId="77777777" w:rsidR="001C6F8E" w:rsidRPr="001C6F8E" w:rsidRDefault="001C6F8E" w:rsidP="001C6F8E">
      <w:pPr>
        <w:numPr>
          <w:ilvl w:val="0"/>
          <w:numId w:val="28"/>
        </w:numPr>
        <w:spacing w:line="360" w:lineRule="auto"/>
        <w:jc w:val="both"/>
        <w:rPr>
          <w:rFonts w:ascii="Aptos" w:hAnsi="Aptos" w:cs="Times New Roman"/>
        </w:rPr>
      </w:pPr>
      <w:r w:rsidRPr="001C6F8E">
        <w:rPr>
          <w:rFonts w:ascii="Aptos" w:hAnsi="Aptos" w:cs="Times New Roman"/>
        </w:rPr>
        <w:t>Reconsiderar las figuras que comprometen el recaudo (compensación por retiros obligatorios; no liquidación a predios entregados anticipadamente) y transformar la exclusión a víctimas en exención con término definido, para evitar pérdidas permanentes de ingresos.</w:t>
      </w:r>
    </w:p>
    <w:p w14:paraId="540C9BC7" w14:textId="77777777" w:rsidR="001C6F8E" w:rsidRPr="001C6F8E" w:rsidRDefault="001C6F8E" w:rsidP="001C6F8E">
      <w:pPr>
        <w:numPr>
          <w:ilvl w:val="0"/>
          <w:numId w:val="28"/>
        </w:numPr>
        <w:spacing w:line="360" w:lineRule="auto"/>
        <w:jc w:val="both"/>
        <w:rPr>
          <w:rFonts w:ascii="Aptos" w:hAnsi="Aptos" w:cs="Times New Roman"/>
        </w:rPr>
      </w:pPr>
      <w:r w:rsidRPr="001C6F8E">
        <w:rPr>
          <w:rFonts w:ascii="Aptos" w:hAnsi="Aptos" w:cs="Times New Roman"/>
        </w:rPr>
        <w:lastRenderedPageBreak/>
        <w:t>Corregir técnicamente la sobretasa bomberil: definir de modo coherente el hecho generador y la base gravable (IPU o avalúo), eliminando la incongruencia del art. 142.</w:t>
      </w:r>
    </w:p>
    <w:p w14:paraId="02C10075" w14:textId="77777777" w:rsidR="001C6F8E" w:rsidRPr="001C6F8E" w:rsidRDefault="001C6F8E" w:rsidP="001C6F8E">
      <w:pPr>
        <w:numPr>
          <w:ilvl w:val="0"/>
          <w:numId w:val="28"/>
        </w:numPr>
        <w:spacing w:line="360" w:lineRule="auto"/>
        <w:jc w:val="both"/>
        <w:rPr>
          <w:rFonts w:ascii="Aptos" w:hAnsi="Aptos" w:cs="Times New Roman"/>
        </w:rPr>
      </w:pPr>
      <w:r w:rsidRPr="001C6F8E">
        <w:rPr>
          <w:rFonts w:ascii="Aptos" w:hAnsi="Aptos" w:cs="Times New Roman"/>
        </w:rPr>
        <w:t>Revisar el alumbrado público por rangos de avalúo con 1‰, asegurando claridad y consistencia legal en su liquidación.</w:t>
      </w:r>
    </w:p>
    <w:p w14:paraId="413B2FD7" w14:textId="77777777" w:rsidR="001C6F8E" w:rsidRPr="001C6F8E" w:rsidRDefault="001C6F8E" w:rsidP="001C6F8E">
      <w:pPr>
        <w:numPr>
          <w:ilvl w:val="0"/>
          <w:numId w:val="28"/>
        </w:numPr>
        <w:spacing w:line="360" w:lineRule="auto"/>
        <w:jc w:val="both"/>
        <w:rPr>
          <w:rFonts w:ascii="Aptos" w:hAnsi="Aptos" w:cs="Times New Roman"/>
        </w:rPr>
      </w:pPr>
      <w:r w:rsidRPr="001C6F8E">
        <w:rPr>
          <w:rFonts w:ascii="Aptos" w:hAnsi="Aptos" w:cs="Times New Roman"/>
        </w:rPr>
        <w:t>Establecer límites y reglas de gradualidad para incrementos por rezago catastral, complementando los límites ya reconocidos de la Ley 1995 de 2019.</w:t>
      </w:r>
    </w:p>
    <w:p w14:paraId="16A732D0" w14:textId="77777777" w:rsidR="001C6F8E" w:rsidRPr="001C6F8E" w:rsidRDefault="001C6F8E" w:rsidP="001C6F8E">
      <w:pPr>
        <w:numPr>
          <w:ilvl w:val="0"/>
          <w:numId w:val="28"/>
        </w:numPr>
        <w:spacing w:line="360" w:lineRule="auto"/>
        <w:jc w:val="both"/>
        <w:rPr>
          <w:rFonts w:ascii="Aptos" w:hAnsi="Aptos" w:cs="Times New Roman"/>
        </w:rPr>
      </w:pPr>
      <w:r w:rsidRPr="001C6F8E">
        <w:rPr>
          <w:rFonts w:ascii="Aptos" w:hAnsi="Aptos" w:cs="Times New Roman"/>
        </w:rPr>
        <w:t>Evaluar el alcance del gravamen prohibido a entidades religiosas sobre todos los tributos basados en avalúo, ponderando su impacto fiscal y compatibilidad con el marco del estatuto.</w:t>
      </w:r>
    </w:p>
    <w:p w14:paraId="59F5D9C1" w14:textId="77777777" w:rsidR="00707E60" w:rsidRDefault="00707E60"/>
    <w:p w14:paraId="39A1343E" w14:textId="77777777" w:rsidR="00707E60" w:rsidRDefault="00707E60"/>
    <w:p w14:paraId="46B394A7" w14:textId="77777777" w:rsidR="00707E60" w:rsidRDefault="00707E60"/>
    <w:p w14:paraId="19A269B2" w14:textId="77777777" w:rsidR="00707E60" w:rsidRDefault="00707E60"/>
    <w:p w14:paraId="3158B45A" w14:textId="77777777" w:rsidR="00707E60" w:rsidRDefault="00707E60"/>
    <w:p w14:paraId="43A6B5BA" w14:textId="77777777" w:rsidR="00707E60" w:rsidRDefault="00707E60"/>
    <w:sectPr w:rsidR="00707E60" w:rsidSect="00707E60">
      <w:headerReference w:type="default" r:id="rId8"/>
      <w:footerReference w:type="even" r:id="rId9"/>
      <w:footerReference w:type="default" r:id="rId10"/>
      <w:pgSz w:w="12240" w:h="15840"/>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8AE07C" w14:textId="77777777" w:rsidR="00740366" w:rsidRDefault="00740366" w:rsidP="00707E60">
      <w:pPr>
        <w:spacing w:after="0" w:line="240" w:lineRule="auto"/>
      </w:pPr>
      <w:r>
        <w:separator/>
      </w:r>
    </w:p>
  </w:endnote>
  <w:endnote w:type="continuationSeparator" w:id="0">
    <w:p w14:paraId="018DF2AA" w14:textId="77777777" w:rsidR="00740366" w:rsidRDefault="00740366" w:rsidP="00707E6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694536840"/>
      <w:docPartObj>
        <w:docPartGallery w:val="Page Numbers (Bottom of Page)"/>
        <w:docPartUnique/>
      </w:docPartObj>
    </w:sdtPr>
    <w:sdtContent>
      <w:p w14:paraId="5B7F2B64" w14:textId="68F29198" w:rsidR="00707E60" w:rsidRDefault="00707E60" w:rsidP="000334B6">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701427EE" w14:textId="77777777" w:rsidR="00707E60" w:rsidRDefault="00707E60" w:rsidP="00707E60">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800755832"/>
      <w:docPartObj>
        <w:docPartGallery w:val="Page Numbers (Bottom of Page)"/>
        <w:docPartUnique/>
      </w:docPartObj>
    </w:sdtPr>
    <w:sdtContent>
      <w:p w14:paraId="4BC3D90B" w14:textId="5F218685" w:rsidR="00707E60" w:rsidRDefault="00707E60" w:rsidP="000334B6">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2C2F8937" w14:textId="77777777" w:rsidR="00707E60" w:rsidRDefault="00707E60" w:rsidP="00707E60">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AEFA0D" w14:textId="77777777" w:rsidR="00740366" w:rsidRDefault="00740366" w:rsidP="00707E60">
      <w:pPr>
        <w:spacing w:after="0" w:line="240" w:lineRule="auto"/>
      </w:pPr>
      <w:r>
        <w:separator/>
      </w:r>
    </w:p>
  </w:footnote>
  <w:footnote w:type="continuationSeparator" w:id="0">
    <w:p w14:paraId="6AFBD74E" w14:textId="77777777" w:rsidR="00740366" w:rsidRDefault="00740366" w:rsidP="00707E6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BEA336" w14:textId="7FD62BEC" w:rsidR="00707E60" w:rsidRDefault="00707E60" w:rsidP="00707E60">
    <w:pPr>
      <w:pStyle w:val="Header"/>
    </w:pPr>
    <w:r w:rsidRPr="006F3507">
      <w:rPr>
        <w:noProof/>
      </w:rPr>
      <mc:AlternateContent>
        <mc:Choice Requires="wps">
          <w:drawing>
            <wp:anchor distT="0" distB="0" distL="114300" distR="114300" simplePos="0" relativeHeight="251659264" behindDoc="0" locked="0" layoutInCell="1" allowOverlap="1" wp14:anchorId="59CC783E" wp14:editId="59162596">
              <wp:simplePos x="0" y="0"/>
              <wp:positionH relativeFrom="column">
                <wp:posOffset>38500</wp:posOffset>
              </wp:positionH>
              <wp:positionV relativeFrom="paragraph">
                <wp:posOffset>-112696</wp:posOffset>
              </wp:positionV>
              <wp:extent cx="3484345" cy="551145"/>
              <wp:effectExtent l="0" t="0" r="0" b="0"/>
              <wp:wrapNone/>
              <wp:docPr id="4" name="CuadroTexto 3">
                <a:extLst xmlns:a="http://schemas.openxmlformats.org/drawingml/2006/main">
                  <a:ext uri="{FF2B5EF4-FFF2-40B4-BE49-F238E27FC236}">
                    <a16:creationId xmlns:a16="http://schemas.microsoft.com/office/drawing/2014/main" id="{0BAB22FA-B3FF-7701-F2F6-CC0537A91E39}"/>
                  </a:ext>
                </a:extLst>
              </wp:docPr>
              <wp:cNvGraphicFramePr/>
              <a:graphic xmlns:a="http://schemas.openxmlformats.org/drawingml/2006/main">
                <a:graphicData uri="http://schemas.microsoft.com/office/word/2010/wordprocessingShape">
                  <wps:wsp>
                    <wps:cNvSpPr txBox="1"/>
                    <wps:spPr>
                      <a:xfrm>
                        <a:off x="0" y="0"/>
                        <a:ext cx="3484345" cy="551145"/>
                      </a:xfrm>
                      <a:prstGeom prst="rect">
                        <a:avLst/>
                      </a:prstGeom>
                      <a:noFill/>
                    </wps:spPr>
                    <wps:txbx>
                      <w:txbxContent>
                        <w:p w14:paraId="745AB46E" w14:textId="77777777" w:rsidR="00DD0016" w:rsidRPr="00327CFA" w:rsidRDefault="00DD0016" w:rsidP="00DD0016">
                          <w:pPr>
                            <w:pStyle w:val="NoSpacing"/>
                            <w:rPr>
                              <w:b/>
                              <w:bCs/>
                              <w:color w:val="000000" w:themeColor="text1"/>
                            </w:rPr>
                          </w:pPr>
                          <w:r w:rsidRPr="00AB4389">
                            <w:rPr>
                              <w:b/>
                              <w:bCs/>
                              <w:color w:val="000000" w:themeColor="text1"/>
                            </w:rPr>
                            <w:t>Análisis Jurídico de Estatuto Tributario</w:t>
                          </w:r>
                        </w:p>
                        <w:p w14:paraId="55DF06F3" w14:textId="792D89F5" w:rsidR="00707E60" w:rsidRPr="00707E60" w:rsidRDefault="00707E60" w:rsidP="00707E60">
                          <w:pPr>
                            <w:pStyle w:val="NoSpacing"/>
                            <w:rPr>
                              <w:color w:val="000000" w:themeColor="text1"/>
                              <w:sz w:val="28"/>
                              <w:szCs w:val="28"/>
                            </w:rPr>
                          </w:pPr>
                          <w:r w:rsidRPr="00707E60">
                            <w:rPr>
                              <w:color w:val="000000" w:themeColor="text1"/>
                              <w:sz w:val="28"/>
                              <w:szCs w:val="28"/>
                            </w:rPr>
                            <w:t>Ficha Municipio</w:t>
                          </w:r>
                          <w:r w:rsidR="00723620">
                            <w:rPr>
                              <w:color w:val="000000" w:themeColor="text1"/>
                              <w:sz w:val="28"/>
                              <w:szCs w:val="28"/>
                            </w:rPr>
                            <w:t xml:space="preserve"> </w:t>
                          </w:r>
                          <w:r w:rsidR="001C6F8E">
                            <w:rPr>
                              <w:color w:val="000000" w:themeColor="text1"/>
                              <w:sz w:val="28"/>
                              <w:szCs w:val="28"/>
                            </w:rPr>
                            <w:t>Valdivia</w:t>
                          </w:r>
                        </w:p>
                      </w:txbxContent>
                    </wps:txbx>
                    <wps:bodyPr wrap="square" rtlCol="0">
                      <a:noAutofit/>
                    </wps:bodyPr>
                  </wps:wsp>
                </a:graphicData>
              </a:graphic>
              <wp14:sizeRelH relativeFrom="margin">
                <wp14:pctWidth>0</wp14:pctWidth>
              </wp14:sizeRelH>
              <wp14:sizeRelV relativeFrom="margin">
                <wp14:pctHeight>0</wp14:pctHeight>
              </wp14:sizeRelV>
            </wp:anchor>
          </w:drawing>
        </mc:Choice>
        <mc:Fallback>
          <w:pict>
            <v:shapetype w14:anchorId="59CC783E" id="_x0000_t202" coordsize="21600,21600" o:spt="202" path="m,l,21600r21600,l21600,xe">
              <v:stroke joinstyle="miter"/>
              <v:path gradientshapeok="t" o:connecttype="rect"/>
            </v:shapetype>
            <v:shape id="CuadroTexto 3" o:spid="_x0000_s1026" type="#_x0000_t202" style="position:absolute;margin-left:3.05pt;margin-top:-8.85pt;width:274.35pt;height:43.4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" filled="f" stroked="f">
              <v:textbox>
                <w:txbxContent>
                  <w:p w14:paraId="745AB46E" w14:textId="77777777" w:rsidR="00DD0016" w:rsidRPr="00327CFA" w:rsidRDefault="00DD0016" w:rsidP="00DD0016">
                    <w:pPr>
                      <w:pStyle w:val="NoSpacing"/>
                      <w:rPr>
                        <w:b/>
                        <w:bCs/>
                        <w:color w:val="000000" w:themeColor="text1"/>
                      </w:rPr>
                    </w:pPr>
                    <w:r w:rsidRPr="00AB4389">
                      <w:rPr>
                        <w:b/>
                        <w:bCs/>
                        <w:color w:val="000000" w:themeColor="text1"/>
                      </w:rPr>
                      <w:t>Análisis Jurídico de Estatuto Tributario</w:t>
                    </w:r>
                  </w:p>
                  <w:p w14:paraId="55DF06F3" w14:textId="792D89F5" w:rsidR="00707E60" w:rsidRPr="00707E60" w:rsidRDefault="00707E60" w:rsidP="00707E60">
                    <w:pPr>
                      <w:pStyle w:val="NoSpacing"/>
                      <w:rPr>
                        <w:color w:val="000000" w:themeColor="text1"/>
                        <w:sz w:val="28"/>
                        <w:szCs w:val="28"/>
                      </w:rPr>
                    </w:pPr>
                    <w:r w:rsidRPr="00707E60">
                      <w:rPr>
                        <w:color w:val="000000" w:themeColor="text1"/>
                        <w:sz w:val="28"/>
                        <w:szCs w:val="28"/>
                      </w:rPr>
                      <w:t>Ficha Municipio</w:t>
                    </w:r>
                    <w:r w:rsidR="00723620">
                      <w:rPr>
                        <w:color w:val="000000" w:themeColor="text1"/>
                        <w:sz w:val="28"/>
                        <w:szCs w:val="28"/>
                      </w:rPr>
                      <w:t xml:space="preserve"> </w:t>
                    </w:r>
                    <w:r w:rsidR="001C6F8E">
                      <w:rPr>
                        <w:color w:val="000000" w:themeColor="text1"/>
                        <w:sz w:val="28"/>
                        <w:szCs w:val="28"/>
                      </w:rPr>
                      <w:t>Valdivia</w:t>
                    </w:r>
                  </w:p>
                </w:txbxContent>
              </v:textbox>
            </v:shape>
          </w:pict>
        </mc:Fallback>
      </mc:AlternateContent>
    </w:r>
    <w:r w:rsidRPr="001B18EF">
      <w:rPr>
        <w:noProof/>
        <w:lang w:eastAsia="es-CO"/>
      </w:rPr>
      <w:drawing>
        <wp:anchor distT="0" distB="0" distL="114300" distR="114300" simplePos="0" relativeHeight="251660288" behindDoc="0" locked="0" layoutInCell="1" allowOverlap="1" wp14:anchorId="015C3FBD" wp14:editId="7BF962BD">
          <wp:simplePos x="0" y="0"/>
          <wp:positionH relativeFrom="column">
            <wp:posOffset>3844925</wp:posOffset>
          </wp:positionH>
          <wp:positionV relativeFrom="paragraph">
            <wp:posOffset>-174224</wp:posOffset>
          </wp:positionV>
          <wp:extent cx="2125345" cy="612775"/>
          <wp:effectExtent l="0" t="0" r="0" b="0"/>
          <wp:wrapSquare wrapText="bothSides"/>
          <wp:docPr id="866569291" name="Picture 9" descr="A black and grey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569291" name="Picture 9" descr="A black and grey logo&#10;&#10;AI-generated content may be incorrec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125345" cy="612775"/>
                  </a:xfrm>
                  <a:prstGeom prst="rect">
                    <a:avLst/>
                  </a:prstGeom>
                  <a:noFill/>
                  <a:ln>
                    <a:noFill/>
                  </a:ln>
                </pic:spPr>
              </pic:pic>
            </a:graphicData>
          </a:graphic>
          <wp14:sizeRelH relativeFrom="page">
            <wp14:pctWidth>0</wp14:pctWidth>
          </wp14:sizeRelH>
          <wp14:sizeRelV relativeFrom="page">
            <wp14:pctHeight>0</wp14:pctHeight>
          </wp14:sizeRelV>
        </wp:anchor>
      </w:drawing>
    </w: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75253"/>
    <w:multiLevelType w:val="multilevel"/>
    <w:tmpl w:val="BBF079EE"/>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642059"/>
    <w:multiLevelType w:val="multilevel"/>
    <w:tmpl w:val="C63ECCDA"/>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85656B6"/>
    <w:multiLevelType w:val="multilevel"/>
    <w:tmpl w:val="C63ECCDA"/>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C801299"/>
    <w:multiLevelType w:val="multilevel"/>
    <w:tmpl w:val="C63ECCDA"/>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F37385E"/>
    <w:multiLevelType w:val="multilevel"/>
    <w:tmpl w:val="C63ECCDA"/>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AC3475C"/>
    <w:multiLevelType w:val="multilevel"/>
    <w:tmpl w:val="C4D4A472"/>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9023C47"/>
    <w:multiLevelType w:val="hybridMultilevel"/>
    <w:tmpl w:val="7FE052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EAC1018"/>
    <w:multiLevelType w:val="multilevel"/>
    <w:tmpl w:val="C63ECCDA"/>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0861743"/>
    <w:multiLevelType w:val="multilevel"/>
    <w:tmpl w:val="C63ECCDA"/>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1F91FF4"/>
    <w:multiLevelType w:val="multilevel"/>
    <w:tmpl w:val="C63ECCDA"/>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2DB7B26"/>
    <w:multiLevelType w:val="multilevel"/>
    <w:tmpl w:val="C4D4A472"/>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9127BE5"/>
    <w:multiLevelType w:val="hybridMultilevel"/>
    <w:tmpl w:val="B8A64F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B1E7BEA"/>
    <w:multiLevelType w:val="multilevel"/>
    <w:tmpl w:val="F252FA22"/>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B780CED"/>
    <w:multiLevelType w:val="multilevel"/>
    <w:tmpl w:val="C63ECCDA"/>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DE62793"/>
    <w:multiLevelType w:val="multilevel"/>
    <w:tmpl w:val="C4D4A472"/>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FC62DA3"/>
    <w:multiLevelType w:val="multilevel"/>
    <w:tmpl w:val="C63ECCDA"/>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39B2B40"/>
    <w:multiLevelType w:val="multilevel"/>
    <w:tmpl w:val="C4D4A472"/>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6FF47F6"/>
    <w:multiLevelType w:val="multilevel"/>
    <w:tmpl w:val="C4D4A472"/>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8B00E25"/>
    <w:multiLevelType w:val="multilevel"/>
    <w:tmpl w:val="C4D4A472"/>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ED71B67"/>
    <w:multiLevelType w:val="multilevel"/>
    <w:tmpl w:val="BBF079EE"/>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FEA4E6E"/>
    <w:multiLevelType w:val="multilevel"/>
    <w:tmpl w:val="F252FA22"/>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65A54FD"/>
    <w:multiLevelType w:val="multilevel"/>
    <w:tmpl w:val="C4D4A472"/>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B1F4DAA"/>
    <w:multiLevelType w:val="multilevel"/>
    <w:tmpl w:val="C4D4A472"/>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BDF2431"/>
    <w:multiLevelType w:val="multilevel"/>
    <w:tmpl w:val="C63ECCDA"/>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FB250DE"/>
    <w:multiLevelType w:val="multilevel"/>
    <w:tmpl w:val="F252FA22"/>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52D16B3"/>
    <w:multiLevelType w:val="multilevel"/>
    <w:tmpl w:val="C63ECCDA"/>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7E011F3"/>
    <w:multiLevelType w:val="multilevel"/>
    <w:tmpl w:val="C63ECCDA"/>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E750FC5"/>
    <w:multiLevelType w:val="multilevel"/>
    <w:tmpl w:val="F252FA22"/>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917704">
    <w:abstractNumId w:val="6"/>
  </w:num>
  <w:num w:numId="2" w16cid:durableId="1017347282">
    <w:abstractNumId w:val="11"/>
  </w:num>
  <w:num w:numId="3" w16cid:durableId="44450645">
    <w:abstractNumId w:val="19"/>
  </w:num>
  <w:num w:numId="4" w16cid:durableId="1953855267">
    <w:abstractNumId w:val="0"/>
  </w:num>
  <w:num w:numId="5" w16cid:durableId="279457733">
    <w:abstractNumId w:val="7"/>
  </w:num>
  <w:num w:numId="6" w16cid:durableId="829055416">
    <w:abstractNumId w:val="1"/>
  </w:num>
  <w:num w:numId="7" w16cid:durableId="1974747392">
    <w:abstractNumId w:val="4"/>
  </w:num>
  <w:num w:numId="8" w16cid:durableId="1342120387">
    <w:abstractNumId w:val="15"/>
  </w:num>
  <w:num w:numId="9" w16cid:durableId="350257001">
    <w:abstractNumId w:val="3"/>
  </w:num>
  <w:num w:numId="10" w16cid:durableId="1078140204">
    <w:abstractNumId w:val="8"/>
  </w:num>
  <w:num w:numId="11" w16cid:durableId="1792938771">
    <w:abstractNumId w:val="9"/>
  </w:num>
  <w:num w:numId="12" w16cid:durableId="1526560268">
    <w:abstractNumId w:val="23"/>
  </w:num>
  <w:num w:numId="13" w16cid:durableId="684139451">
    <w:abstractNumId w:val="25"/>
  </w:num>
  <w:num w:numId="14" w16cid:durableId="2066485375">
    <w:abstractNumId w:val="26"/>
  </w:num>
  <w:num w:numId="15" w16cid:durableId="1048799774">
    <w:abstractNumId w:val="2"/>
  </w:num>
  <w:num w:numId="16" w16cid:durableId="763765178">
    <w:abstractNumId w:val="13"/>
  </w:num>
  <w:num w:numId="17" w16cid:durableId="312298011">
    <w:abstractNumId w:val="18"/>
  </w:num>
  <w:num w:numId="18" w16cid:durableId="1720469911">
    <w:abstractNumId w:val="14"/>
  </w:num>
  <w:num w:numId="19" w16cid:durableId="435371494">
    <w:abstractNumId w:val="16"/>
  </w:num>
  <w:num w:numId="20" w16cid:durableId="295719448">
    <w:abstractNumId w:val="17"/>
  </w:num>
  <w:num w:numId="21" w16cid:durableId="1577745992">
    <w:abstractNumId w:val="10"/>
  </w:num>
  <w:num w:numId="22" w16cid:durableId="1267925568">
    <w:abstractNumId w:val="21"/>
  </w:num>
  <w:num w:numId="23" w16cid:durableId="1861967186">
    <w:abstractNumId w:val="5"/>
  </w:num>
  <w:num w:numId="24" w16cid:durableId="601374337">
    <w:abstractNumId w:val="22"/>
  </w:num>
  <w:num w:numId="25" w16cid:durableId="1162700760">
    <w:abstractNumId w:val="24"/>
  </w:num>
  <w:num w:numId="26" w16cid:durableId="581332385">
    <w:abstractNumId w:val="12"/>
  </w:num>
  <w:num w:numId="27" w16cid:durableId="423887808">
    <w:abstractNumId w:val="20"/>
  </w:num>
  <w:num w:numId="28" w16cid:durableId="1186863597">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7E60"/>
    <w:rsid w:val="00084B98"/>
    <w:rsid w:val="00120797"/>
    <w:rsid w:val="00134527"/>
    <w:rsid w:val="001C6F8E"/>
    <w:rsid w:val="00211E44"/>
    <w:rsid w:val="00231736"/>
    <w:rsid w:val="0023618C"/>
    <w:rsid w:val="0031580C"/>
    <w:rsid w:val="003650D0"/>
    <w:rsid w:val="003A7CEA"/>
    <w:rsid w:val="003E2241"/>
    <w:rsid w:val="003E2F94"/>
    <w:rsid w:val="004107CA"/>
    <w:rsid w:val="005422DF"/>
    <w:rsid w:val="005C3FCA"/>
    <w:rsid w:val="005D08ED"/>
    <w:rsid w:val="005F7A75"/>
    <w:rsid w:val="00605B4C"/>
    <w:rsid w:val="006348C8"/>
    <w:rsid w:val="00665846"/>
    <w:rsid w:val="006A249B"/>
    <w:rsid w:val="006A428E"/>
    <w:rsid w:val="006E68D4"/>
    <w:rsid w:val="00701CC9"/>
    <w:rsid w:val="00707E60"/>
    <w:rsid w:val="00723620"/>
    <w:rsid w:val="00740366"/>
    <w:rsid w:val="0075330F"/>
    <w:rsid w:val="007C2E1E"/>
    <w:rsid w:val="00813F67"/>
    <w:rsid w:val="00844CC8"/>
    <w:rsid w:val="00845F02"/>
    <w:rsid w:val="00855468"/>
    <w:rsid w:val="009D1788"/>
    <w:rsid w:val="009D1F9E"/>
    <w:rsid w:val="00A27409"/>
    <w:rsid w:val="00A53B01"/>
    <w:rsid w:val="00A55C9A"/>
    <w:rsid w:val="00A60686"/>
    <w:rsid w:val="00A96461"/>
    <w:rsid w:val="00AA7DD4"/>
    <w:rsid w:val="00B01FF5"/>
    <w:rsid w:val="00B9278F"/>
    <w:rsid w:val="00B9597A"/>
    <w:rsid w:val="00BC7035"/>
    <w:rsid w:val="00BE3801"/>
    <w:rsid w:val="00C04706"/>
    <w:rsid w:val="00C24423"/>
    <w:rsid w:val="00C3440A"/>
    <w:rsid w:val="00C4509C"/>
    <w:rsid w:val="00C942B0"/>
    <w:rsid w:val="00D37EF2"/>
    <w:rsid w:val="00DB14E5"/>
    <w:rsid w:val="00DD0016"/>
    <w:rsid w:val="00E20762"/>
    <w:rsid w:val="00E20840"/>
    <w:rsid w:val="00E608BE"/>
    <w:rsid w:val="00F27231"/>
    <w:rsid w:val="00F65205"/>
    <w:rsid w:val="00FA454C"/>
    <w:rsid w:val="00FD5F5F"/>
  </w:rsids>
  <m:mathPr>
    <m:mathFont m:val="Cambria Math"/>
    <m:brkBin m:val="before"/>
    <m:brkBinSub m:val="--"/>
    <m:smallFrac m:val="0"/>
    <m:dispDef/>
    <m:lMargin m:val="0"/>
    <m:rMargin m:val="0"/>
    <m:defJc m:val="centerGroup"/>
    <m:wrapIndent m:val="1440"/>
    <m:intLim m:val="subSup"/>
    <m:naryLim m:val="undOvr"/>
  </m:mathPr>
  <w:themeFontLang w:val="en-CO"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D2BB83"/>
  <w15:chartTrackingRefBased/>
  <w15:docId w15:val="{AC92E50B-06D8-7E40-8625-54C1C78544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CO"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07E60"/>
    <w:pPr>
      <w:spacing w:after="160" w:line="259" w:lineRule="auto"/>
    </w:pPr>
    <w:rPr>
      <w:rFonts w:eastAsiaTheme="minorHAnsi"/>
      <w:sz w:val="22"/>
      <w:szCs w:val="22"/>
      <w:lang w:val="es-CO" w:eastAsia="en-US"/>
    </w:rPr>
  </w:style>
  <w:style w:type="paragraph" w:styleId="Heading1">
    <w:name w:val="heading 1"/>
    <w:basedOn w:val="Normal"/>
    <w:next w:val="Normal"/>
    <w:link w:val="Heading1Char"/>
    <w:uiPriority w:val="9"/>
    <w:qFormat/>
    <w:rsid w:val="00707E6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07E6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07E6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07E6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07E6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07E6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07E6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07E6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07E6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7E60"/>
    <w:rPr>
      <w:rFonts w:asciiTheme="majorHAnsi" w:eastAsiaTheme="majorEastAsia" w:hAnsiTheme="majorHAnsi" w:cstheme="majorBidi"/>
      <w:color w:val="0F4761" w:themeColor="accent1" w:themeShade="BF"/>
      <w:sz w:val="40"/>
      <w:szCs w:val="40"/>
      <w:lang w:val="es-ES"/>
    </w:rPr>
  </w:style>
  <w:style w:type="character" w:customStyle="1" w:styleId="Heading2Char">
    <w:name w:val="Heading 2 Char"/>
    <w:basedOn w:val="DefaultParagraphFont"/>
    <w:link w:val="Heading2"/>
    <w:uiPriority w:val="9"/>
    <w:semiHidden/>
    <w:rsid w:val="00707E60"/>
    <w:rPr>
      <w:rFonts w:asciiTheme="majorHAnsi" w:eastAsiaTheme="majorEastAsia" w:hAnsiTheme="majorHAnsi" w:cstheme="majorBidi"/>
      <w:color w:val="0F4761" w:themeColor="accent1" w:themeShade="BF"/>
      <w:sz w:val="32"/>
      <w:szCs w:val="32"/>
      <w:lang w:val="es-ES"/>
    </w:rPr>
  </w:style>
  <w:style w:type="character" w:customStyle="1" w:styleId="Heading3Char">
    <w:name w:val="Heading 3 Char"/>
    <w:basedOn w:val="DefaultParagraphFont"/>
    <w:link w:val="Heading3"/>
    <w:uiPriority w:val="9"/>
    <w:semiHidden/>
    <w:rsid w:val="00707E60"/>
    <w:rPr>
      <w:rFonts w:eastAsiaTheme="majorEastAsia" w:cstheme="majorBidi"/>
      <w:color w:val="0F4761" w:themeColor="accent1" w:themeShade="BF"/>
      <w:sz w:val="28"/>
      <w:szCs w:val="28"/>
      <w:lang w:val="es-ES"/>
    </w:rPr>
  </w:style>
  <w:style w:type="character" w:customStyle="1" w:styleId="Heading4Char">
    <w:name w:val="Heading 4 Char"/>
    <w:basedOn w:val="DefaultParagraphFont"/>
    <w:link w:val="Heading4"/>
    <w:uiPriority w:val="9"/>
    <w:semiHidden/>
    <w:rsid w:val="00707E60"/>
    <w:rPr>
      <w:rFonts w:eastAsiaTheme="majorEastAsia" w:cstheme="majorBidi"/>
      <w:i/>
      <w:iCs/>
      <w:color w:val="0F4761" w:themeColor="accent1" w:themeShade="BF"/>
      <w:lang w:val="es-ES"/>
    </w:rPr>
  </w:style>
  <w:style w:type="character" w:customStyle="1" w:styleId="Heading5Char">
    <w:name w:val="Heading 5 Char"/>
    <w:basedOn w:val="DefaultParagraphFont"/>
    <w:link w:val="Heading5"/>
    <w:uiPriority w:val="9"/>
    <w:semiHidden/>
    <w:rsid w:val="00707E60"/>
    <w:rPr>
      <w:rFonts w:eastAsiaTheme="majorEastAsia" w:cstheme="majorBidi"/>
      <w:color w:val="0F4761" w:themeColor="accent1" w:themeShade="BF"/>
      <w:lang w:val="es-ES"/>
    </w:rPr>
  </w:style>
  <w:style w:type="character" w:customStyle="1" w:styleId="Heading6Char">
    <w:name w:val="Heading 6 Char"/>
    <w:basedOn w:val="DefaultParagraphFont"/>
    <w:link w:val="Heading6"/>
    <w:uiPriority w:val="9"/>
    <w:semiHidden/>
    <w:rsid w:val="00707E60"/>
    <w:rPr>
      <w:rFonts w:eastAsiaTheme="majorEastAsia" w:cstheme="majorBidi"/>
      <w:i/>
      <w:iCs/>
      <w:color w:val="595959" w:themeColor="text1" w:themeTint="A6"/>
      <w:lang w:val="es-ES"/>
    </w:rPr>
  </w:style>
  <w:style w:type="character" w:customStyle="1" w:styleId="Heading7Char">
    <w:name w:val="Heading 7 Char"/>
    <w:basedOn w:val="DefaultParagraphFont"/>
    <w:link w:val="Heading7"/>
    <w:uiPriority w:val="9"/>
    <w:semiHidden/>
    <w:rsid w:val="00707E60"/>
    <w:rPr>
      <w:rFonts w:eastAsiaTheme="majorEastAsia" w:cstheme="majorBidi"/>
      <w:color w:val="595959" w:themeColor="text1" w:themeTint="A6"/>
      <w:lang w:val="es-ES"/>
    </w:rPr>
  </w:style>
  <w:style w:type="character" w:customStyle="1" w:styleId="Heading8Char">
    <w:name w:val="Heading 8 Char"/>
    <w:basedOn w:val="DefaultParagraphFont"/>
    <w:link w:val="Heading8"/>
    <w:uiPriority w:val="9"/>
    <w:semiHidden/>
    <w:rsid w:val="00707E60"/>
    <w:rPr>
      <w:rFonts w:eastAsiaTheme="majorEastAsia" w:cstheme="majorBidi"/>
      <w:i/>
      <w:iCs/>
      <w:color w:val="272727" w:themeColor="text1" w:themeTint="D8"/>
      <w:lang w:val="es-ES"/>
    </w:rPr>
  </w:style>
  <w:style w:type="character" w:customStyle="1" w:styleId="Heading9Char">
    <w:name w:val="Heading 9 Char"/>
    <w:basedOn w:val="DefaultParagraphFont"/>
    <w:link w:val="Heading9"/>
    <w:uiPriority w:val="9"/>
    <w:semiHidden/>
    <w:rsid w:val="00707E60"/>
    <w:rPr>
      <w:rFonts w:eastAsiaTheme="majorEastAsia" w:cstheme="majorBidi"/>
      <w:color w:val="272727" w:themeColor="text1" w:themeTint="D8"/>
      <w:lang w:val="es-ES"/>
    </w:rPr>
  </w:style>
  <w:style w:type="paragraph" w:styleId="Title">
    <w:name w:val="Title"/>
    <w:basedOn w:val="Subtitle"/>
    <w:next w:val="Normal"/>
    <w:link w:val="TitleChar"/>
    <w:uiPriority w:val="10"/>
    <w:qFormat/>
    <w:rsid w:val="00AA7DD4"/>
    <w:pPr>
      <w:spacing w:line="360" w:lineRule="auto"/>
      <w:ind w:left="1080" w:hanging="720"/>
      <w:contextualSpacing/>
      <w:jc w:val="both"/>
    </w:pPr>
    <w:rPr>
      <w:b/>
      <w:bCs/>
      <w:color w:val="000000" w:themeColor="text1"/>
      <w:sz w:val="32"/>
      <w:szCs w:val="32"/>
    </w:rPr>
  </w:style>
  <w:style w:type="character" w:customStyle="1" w:styleId="TitleChar">
    <w:name w:val="Title Char"/>
    <w:basedOn w:val="DefaultParagraphFont"/>
    <w:link w:val="Title"/>
    <w:uiPriority w:val="10"/>
    <w:rsid w:val="00AA7DD4"/>
    <w:rPr>
      <w:rFonts w:eastAsiaTheme="majorEastAsia" w:cstheme="majorBidi"/>
      <w:b/>
      <w:bCs/>
      <w:color w:val="000000" w:themeColor="text1"/>
      <w:spacing w:val="15"/>
      <w:sz w:val="32"/>
      <w:szCs w:val="32"/>
      <w:lang w:val="es-CO" w:eastAsia="en-US"/>
    </w:rPr>
  </w:style>
  <w:style w:type="paragraph" w:styleId="Subtitle">
    <w:name w:val="Subtitle"/>
    <w:basedOn w:val="Normal"/>
    <w:next w:val="Normal"/>
    <w:link w:val="SubtitleChar"/>
    <w:uiPriority w:val="11"/>
    <w:qFormat/>
    <w:rsid w:val="00707E6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07E60"/>
    <w:rPr>
      <w:rFonts w:eastAsiaTheme="majorEastAsia" w:cstheme="majorBidi"/>
      <w:color w:val="595959" w:themeColor="text1" w:themeTint="A6"/>
      <w:spacing w:val="15"/>
      <w:sz w:val="28"/>
      <w:szCs w:val="28"/>
      <w:lang w:val="es-ES"/>
    </w:rPr>
  </w:style>
  <w:style w:type="paragraph" w:styleId="Quote">
    <w:name w:val="Quote"/>
    <w:basedOn w:val="Normal"/>
    <w:next w:val="Normal"/>
    <w:link w:val="QuoteChar"/>
    <w:uiPriority w:val="29"/>
    <w:qFormat/>
    <w:rsid w:val="00707E60"/>
    <w:pPr>
      <w:spacing w:before="160"/>
      <w:jc w:val="center"/>
    </w:pPr>
    <w:rPr>
      <w:i/>
      <w:iCs/>
      <w:color w:val="404040" w:themeColor="text1" w:themeTint="BF"/>
    </w:rPr>
  </w:style>
  <w:style w:type="character" w:customStyle="1" w:styleId="QuoteChar">
    <w:name w:val="Quote Char"/>
    <w:basedOn w:val="DefaultParagraphFont"/>
    <w:link w:val="Quote"/>
    <w:uiPriority w:val="29"/>
    <w:rsid w:val="00707E60"/>
    <w:rPr>
      <w:i/>
      <w:iCs/>
      <w:color w:val="404040" w:themeColor="text1" w:themeTint="BF"/>
      <w:lang w:val="es-ES"/>
    </w:rPr>
  </w:style>
  <w:style w:type="paragraph" w:styleId="ListParagraph">
    <w:name w:val="List Paragraph"/>
    <w:aliases w:val="Numerado informes,Bibliografía Tesis,Figuras,parrafo,Bolita,Viñeta 4ta"/>
    <w:basedOn w:val="Normal"/>
    <w:link w:val="ListParagraphChar"/>
    <w:uiPriority w:val="34"/>
    <w:qFormat/>
    <w:rsid w:val="00707E60"/>
    <w:pPr>
      <w:ind w:left="720"/>
      <w:contextualSpacing/>
    </w:pPr>
  </w:style>
  <w:style w:type="character" w:styleId="IntenseEmphasis">
    <w:name w:val="Intense Emphasis"/>
    <w:basedOn w:val="DefaultParagraphFont"/>
    <w:uiPriority w:val="21"/>
    <w:qFormat/>
    <w:rsid w:val="00707E60"/>
    <w:rPr>
      <w:i/>
      <w:iCs/>
      <w:color w:val="0F4761" w:themeColor="accent1" w:themeShade="BF"/>
    </w:rPr>
  </w:style>
  <w:style w:type="paragraph" w:styleId="IntenseQuote">
    <w:name w:val="Intense Quote"/>
    <w:basedOn w:val="Normal"/>
    <w:next w:val="Normal"/>
    <w:link w:val="IntenseQuoteChar"/>
    <w:uiPriority w:val="30"/>
    <w:qFormat/>
    <w:rsid w:val="00707E6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07E60"/>
    <w:rPr>
      <w:i/>
      <w:iCs/>
      <w:color w:val="0F4761" w:themeColor="accent1" w:themeShade="BF"/>
      <w:lang w:val="es-ES"/>
    </w:rPr>
  </w:style>
  <w:style w:type="character" w:styleId="IntenseReference">
    <w:name w:val="Intense Reference"/>
    <w:basedOn w:val="DefaultParagraphFont"/>
    <w:uiPriority w:val="32"/>
    <w:qFormat/>
    <w:rsid w:val="00707E60"/>
    <w:rPr>
      <w:b/>
      <w:bCs/>
      <w:smallCaps/>
      <w:color w:val="0F4761" w:themeColor="accent1" w:themeShade="BF"/>
      <w:spacing w:val="5"/>
    </w:rPr>
  </w:style>
  <w:style w:type="paragraph" w:styleId="Header">
    <w:name w:val="header"/>
    <w:basedOn w:val="Normal"/>
    <w:link w:val="HeaderChar"/>
    <w:uiPriority w:val="99"/>
    <w:unhideWhenUsed/>
    <w:rsid w:val="00707E60"/>
    <w:pPr>
      <w:tabs>
        <w:tab w:val="center" w:pos="4680"/>
        <w:tab w:val="right" w:pos="9360"/>
      </w:tabs>
    </w:pPr>
  </w:style>
  <w:style w:type="character" w:customStyle="1" w:styleId="HeaderChar">
    <w:name w:val="Header Char"/>
    <w:basedOn w:val="DefaultParagraphFont"/>
    <w:link w:val="Header"/>
    <w:uiPriority w:val="99"/>
    <w:rsid w:val="00707E60"/>
    <w:rPr>
      <w:lang w:val="es-ES"/>
    </w:rPr>
  </w:style>
  <w:style w:type="paragraph" w:styleId="Footer">
    <w:name w:val="footer"/>
    <w:basedOn w:val="Normal"/>
    <w:link w:val="FooterChar"/>
    <w:uiPriority w:val="99"/>
    <w:unhideWhenUsed/>
    <w:rsid w:val="00707E60"/>
    <w:pPr>
      <w:tabs>
        <w:tab w:val="center" w:pos="4680"/>
        <w:tab w:val="right" w:pos="9360"/>
      </w:tabs>
    </w:pPr>
  </w:style>
  <w:style w:type="character" w:customStyle="1" w:styleId="FooterChar">
    <w:name w:val="Footer Char"/>
    <w:basedOn w:val="DefaultParagraphFont"/>
    <w:link w:val="Footer"/>
    <w:uiPriority w:val="99"/>
    <w:rsid w:val="00707E60"/>
    <w:rPr>
      <w:lang w:val="es-ES"/>
    </w:rPr>
  </w:style>
  <w:style w:type="paragraph" w:styleId="NoSpacing">
    <w:name w:val="No Spacing"/>
    <w:uiPriority w:val="1"/>
    <w:qFormat/>
    <w:rsid w:val="00707E60"/>
    <w:rPr>
      <w:rFonts w:eastAsiaTheme="minorHAnsi"/>
      <w:kern w:val="2"/>
      <w:sz w:val="22"/>
      <w:szCs w:val="22"/>
      <w:lang w:val="es-CO" w:eastAsia="en-US"/>
      <w14:ligatures w14:val="standardContextual"/>
    </w:rPr>
  </w:style>
  <w:style w:type="character" w:customStyle="1" w:styleId="ListParagraphChar">
    <w:name w:val="List Paragraph Char"/>
    <w:aliases w:val="Numerado informes Char,Bibliografía Tesis Char,Figuras Char,parrafo Char,Bolita Char,Viñeta 4ta Char"/>
    <w:link w:val="ListParagraph"/>
    <w:uiPriority w:val="34"/>
    <w:locked/>
    <w:rsid w:val="00707E60"/>
    <w:rPr>
      <w:lang w:val="es-ES"/>
    </w:rPr>
  </w:style>
  <w:style w:type="character" w:styleId="PageNumber">
    <w:name w:val="page number"/>
    <w:basedOn w:val="DefaultParagraphFont"/>
    <w:uiPriority w:val="99"/>
    <w:semiHidden/>
    <w:unhideWhenUsed/>
    <w:rsid w:val="00707E60"/>
  </w:style>
  <w:style w:type="paragraph" w:customStyle="1" w:styleId="Style1">
    <w:name w:val="Style1"/>
    <w:basedOn w:val="Normal"/>
    <w:qFormat/>
    <w:rsid w:val="00AA7DD4"/>
    <w:pPr>
      <w:spacing w:line="360" w:lineRule="auto"/>
      <w:ind w:left="720" w:hanging="360"/>
      <w:jc w:val="both"/>
    </w:pPr>
    <w:rPr>
      <w:rFonts w:ascii="Aptos" w:hAnsi="Aptos"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TotalTime>
  <Pages>4</Pages>
  <Words>668</Words>
  <Characters>3808</Characters>
  <Application>Microsoft Office Word</Application>
  <DocSecurity>0</DocSecurity>
  <Lines>31</Lines>
  <Paragraphs>8</Paragraphs>
  <ScaleCrop>false</ScaleCrop>
  <Company/>
  <LinksUpToDate>false</LinksUpToDate>
  <CharactersWithSpaces>4468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 Sofia Herazo Castelblanco</dc:creator>
  <cp:keywords/>
  <dc:description/>
  <cp:lastModifiedBy>Ana Sofia Herazo Castelblanco</cp:lastModifiedBy>
  <cp:revision>16</cp:revision>
  <dcterms:created xsi:type="dcterms:W3CDTF">2025-10-23T17:12:00Z</dcterms:created>
  <dcterms:modified xsi:type="dcterms:W3CDTF">2025-10-24T18:07:00Z</dcterms:modified>
</cp:coreProperties>
</file>