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2F1B4B3D" w14:textId="77777777" w:rsidR="0084474E" w:rsidRDefault="0084474E" w:rsidP="0084474E">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1594669D" w14:textId="24781DC8" w:rsidR="00707E60" w:rsidRPr="00707E60" w:rsidRDefault="00707E60" w:rsidP="0084474E">
      <w:pPr>
        <w:pStyle w:val="NoSpacing"/>
        <w:rPr>
          <w:b/>
          <w:bCs/>
          <w:color w:val="000000" w:themeColor="text1"/>
          <w:sz w:val="56"/>
          <w:szCs w:val="56"/>
        </w:rPr>
      </w:pPr>
    </w:p>
    <w:p w14:paraId="68B285CD" w14:textId="77777777" w:rsidR="00707E60" w:rsidRPr="00707E60" w:rsidRDefault="00707E60" w:rsidP="00707E60">
      <w:pPr>
        <w:pStyle w:val="NoSpacing"/>
        <w:jc w:val="center"/>
        <w:rPr>
          <w:color w:val="000000" w:themeColor="text1"/>
          <w:sz w:val="72"/>
          <w:szCs w:val="72"/>
        </w:rPr>
      </w:pPr>
    </w:p>
    <w:p w14:paraId="2FE843B9" w14:textId="5EEC9B53"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7A49F6">
        <w:rPr>
          <w:color w:val="000000" w:themeColor="text1"/>
          <w:sz w:val="44"/>
          <w:szCs w:val="44"/>
        </w:rPr>
        <w:t>Vegachí</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03B1BD6A" w14:textId="77777777" w:rsidR="00963712" w:rsidRPr="00963712" w:rsidRDefault="00963712" w:rsidP="00963712">
      <w:pPr>
        <w:spacing w:line="360" w:lineRule="auto"/>
        <w:rPr>
          <w:rFonts w:ascii="Aptos" w:hAnsi="Aptos"/>
        </w:rPr>
      </w:pPr>
      <w:r w:rsidRPr="00963712">
        <w:rPr>
          <w:rFonts w:ascii="Aptos" w:hAnsi="Aptos" w:cs="Times New Roman"/>
        </w:rPr>
        <w:lastRenderedPageBreak/>
        <w:t>El estado actual de su normatividad tributaria se establece en el Acuerdo 011 de 2022</w:t>
      </w:r>
      <w:r w:rsidRPr="00963712">
        <w:rPr>
          <w:rFonts w:ascii="Aptos" w:hAnsi="Aptos"/>
        </w:rPr>
        <w:t>.</w:t>
      </w:r>
    </w:p>
    <w:p w14:paraId="54BC2D99" w14:textId="77777777" w:rsidR="00963712" w:rsidRPr="00963712" w:rsidRDefault="00963712" w:rsidP="00963712">
      <w:pPr>
        <w:spacing w:line="360" w:lineRule="auto"/>
        <w:jc w:val="both"/>
        <w:rPr>
          <w:rFonts w:ascii="Aptos" w:hAnsi="Aptos" w:cs="Times New Roman"/>
          <w:b/>
          <w:bCs/>
          <w:sz w:val="32"/>
          <w:szCs w:val="32"/>
        </w:rPr>
      </w:pPr>
      <w:r w:rsidRPr="00963712">
        <w:rPr>
          <w:rFonts w:ascii="Aptos" w:hAnsi="Aptos" w:cs="Times New Roman"/>
          <w:b/>
          <w:bCs/>
          <w:sz w:val="32"/>
          <w:szCs w:val="32"/>
        </w:rPr>
        <w:t>Hallazgos</w:t>
      </w:r>
    </w:p>
    <w:p w14:paraId="522E3939"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52561619"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La clasificación catastral y las referencias técnicas siguen ancladas a la Resolución 070 de 2011; no se incorpora la Resolución 1040 de 2023.</w:t>
      </w:r>
    </w:p>
    <w:p w14:paraId="4B9AA77B"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La matriz tarifaria está estructurada por destinación económica con rangos de avalúo en UVT y milajes entre 6,25‰ y 16‰; para lotes urbanizados no construidos se aplica 33‰ y para urbanizables no urbanizados 25‰. El uso de milajes con decimales (6,25; 8,7; 11,2) y múltiples escalas por UVT exige reglas claras de redondeo.</w:t>
      </w:r>
    </w:p>
    <w:p w14:paraId="0717F0D4"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Compensación por áreas de retiro: se prevé compensar el IPU en franjas de retiro vial (nacional, intermunicipal y veredal) y se autoriza compensación parcial o total con cargo al impuesto del predio afectado.</w:t>
      </w:r>
    </w:p>
    <w:p w14:paraId="3C7EB202"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Bienes excluidos y de prohibido gravamen: se listan inmuebles de culto, bienes de uso público y de infraestructura en términos amplios, monumentos nacionales, misiones diplomáticas, inmuebles del municipio, entre otros. La redacción mezcla “prohibido gravamen, con exoneraciones, lo que dificulta el control de pérdida del tratamiento cuando cambia el uso. Dentro de este acápite no se identifican categorías ambientales ni de uso del suelo con tratamiento específico.</w:t>
      </w:r>
    </w:p>
    <w:p w14:paraId="637FCB05"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Exenciones: se reconocen beneficios por conservación hídrica y ambiental (corporaciones autónomas; áreas de conservación reglamentadas) y otras exenciones comunes (centro de bienestar del anciano, ESE/comerciales del Estado de capital 100 % municipal, JAC, entidades del ICBF). Falta un procedimiento único de acreditación, delimitación cartográfica, vigencia/renovación y estimación del costo fiscal.</w:t>
      </w:r>
    </w:p>
    <w:p w14:paraId="389C65EB"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 xml:space="preserve">Determinación y cobro por factura: el documento de cobro puede tener mérito ejecutivo, pero se condiciona a reglamentación posterior del alcalde; no se consagra en el estatuto el </w:t>
      </w:r>
      <w:r w:rsidRPr="00963712">
        <w:rPr>
          <w:rFonts w:ascii="Aptos" w:hAnsi="Aptos" w:cs="Times New Roman"/>
        </w:rPr>
        <w:lastRenderedPageBreak/>
        <w:t>contenido mínimo de la factura, ni el protocolo de publicación/notificación y conservación de evidencias, lo que debilita la ejecutividad.</w:t>
      </w:r>
    </w:p>
    <w:p w14:paraId="62FEBFD0"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Pronto pago: se fijan tres escalones de descuento (15 %, 10 % y 5 %).</w:t>
      </w:r>
    </w:p>
    <w:p w14:paraId="6211676D" w14:textId="5C372BA6"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 xml:space="preserve">Límites al IPU: se adopta el tope general atado a actualización catastral con un catálogo amplio de excepciones (lotes, </w:t>
      </w:r>
      <w:r w:rsidRPr="00963712">
        <w:rPr>
          <w:rFonts w:ascii="Aptos" w:hAnsi="Aptos" w:cs="Times New Roman"/>
        </w:rPr>
        <w:t>auto avalúo</w:t>
      </w:r>
      <w:r w:rsidRPr="00963712">
        <w:rPr>
          <w:rFonts w:ascii="Aptos" w:hAnsi="Aptos" w:cs="Times New Roman"/>
        </w:rPr>
        <w:t>, cambios físicos/económicos, etc.). No hay un esquema de transición/gradualidad diferenciado para escenarios de actualización y rezago ni coordinación con cambios de tarifas, lo que puede generar saltos abruptos en la carga y asimetrías entre contribuyentes.</w:t>
      </w:r>
    </w:p>
    <w:p w14:paraId="50B9AAC5"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Sobretasa bomberil: se fija como el 2 % del impuesto predial, lo que exige control de compatibilidad con límites y transiciones del IPU y con demás gravámenes atados, para evitar desbordes y acumulaciones no previstas.</w:t>
      </w:r>
    </w:p>
    <w:p w14:paraId="7DD9302A"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Sobretasa ambiental: se establece en 1,5‰ sobre el mismo avalúo base del IP.</w:t>
      </w:r>
    </w:p>
    <w:p w14:paraId="43C10C11" w14:textId="23AD0674"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 xml:space="preserve">Beneficios, exenciones y prohibiciones con enfoque ambiental y uso del suelo. Exenciones ambientales: 1. inmuebles de propiedad de las corporaciones autónomas destinados a la conservación de hoyas, laderas, escarpas, canales y conducción de aguas, embalses, colectores de alcantarillado, tanques y plantas de purificación de aguas residuales; y 2. todas las áreas de conservación de aguas, fauna y flora reglamentadas por el Concejo Municipal, previa certificación de la Secretaría de Agricultura y de la Oficina de Catastro Municipal o quien haga sus veces, con desenglobe cuando haga falta. Además, opera un tratamiento especial consistente en descuento del IPU para predios con áreas de bosques naturales o áreas dedicadas a la conservación y protección de nacimientos y fuentes hídricas (se exceptúan áreas sembradas o protegidas con fines industriales), sujeto a: solicitud escrita ante Secretaría de Hacienda; certificación de CORANTIOQUIA con acta conjunta del técnico ambiental municipal e identificación catastral; cuantificación proporcional del descuento con base en relación área protegida/área total; compromiso escrito del titular de conservar y permitir demarcaciones oficiales. Condiciones de operatividad: el trámite debe completarse antes del 31 de diciembre para regir en la vigencia siguiente; pérdida del beneficio por incumplimiento o por modificación del área no informada; exigencia de estar a paz y salvo o con acuerdo de pago al día; vigencia </w:t>
      </w:r>
      <w:r w:rsidRPr="00963712">
        <w:rPr>
          <w:rFonts w:ascii="Aptos" w:hAnsi="Aptos" w:cs="Times New Roman"/>
        </w:rPr>
        <w:lastRenderedPageBreak/>
        <w:t>condicionada al cumplimiento permanente; y concepto favorable de la Secretaría de Planeación.</w:t>
      </w:r>
    </w:p>
    <w:p w14:paraId="5FF8BA72" w14:textId="77777777" w:rsidR="00963712" w:rsidRPr="00963712" w:rsidRDefault="00963712" w:rsidP="00963712">
      <w:pPr>
        <w:spacing w:line="360" w:lineRule="auto"/>
        <w:jc w:val="both"/>
        <w:rPr>
          <w:rFonts w:ascii="Aptos" w:hAnsi="Aptos" w:cs="Times New Roman"/>
          <w:b/>
          <w:bCs/>
          <w:sz w:val="32"/>
          <w:szCs w:val="32"/>
        </w:rPr>
      </w:pPr>
      <w:r w:rsidRPr="00963712">
        <w:rPr>
          <w:rFonts w:ascii="Aptos" w:hAnsi="Aptos" w:cs="Times New Roman"/>
          <w:b/>
          <w:bCs/>
          <w:sz w:val="32"/>
          <w:szCs w:val="32"/>
        </w:rPr>
        <w:t>Recomendaciones</w:t>
      </w:r>
    </w:p>
    <w:p w14:paraId="6415922F"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2A960F0F"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Regular la compensación por áreas de retiro con un protocolo técnico-jurídico.</w:t>
      </w:r>
    </w:p>
    <w:p w14:paraId="59CC8133"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Ordenar en el estatuto prohibido gravamen, exenciones y tratamientos especiales para evitar clasificaciones incorrectas</w:t>
      </w:r>
    </w:p>
    <w:p w14:paraId="158557B3"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Fortalecer la determinación por factura con mérito ejecutivo sin depender de reglamentos posteriores: contenido mínimo del acto (identificación predial, base, tarifa, liquidación, fundamentos, recursos y vencimientos), protocolo de publicación (web/cartelera) y archivo probatorio; habilitar domicilio electrónico si se pretende su uso futuro.</w:t>
      </w:r>
    </w:p>
    <w:p w14:paraId="37821D28"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Implementar un esquema de transición y gradualidad que distinga actualización vs. rezago y modificación de tarifas, con topes anuales, duración definida.</w:t>
      </w:r>
    </w:p>
    <w:p w14:paraId="15A56B0A"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Ajustar la sobretasa bomberil: someterla a reglas de tope y transición coherentes con el IPU.</w:t>
      </w:r>
    </w:p>
    <w:p w14:paraId="06081A81" w14:textId="77777777" w:rsidR="00963712" w:rsidRPr="00963712" w:rsidRDefault="00963712" w:rsidP="00963712">
      <w:pPr>
        <w:numPr>
          <w:ilvl w:val="0"/>
          <w:numId w:val="4"/>
        </w:numPr>
        <w:spacing w:line="360" w:lineRule="auto"/>
        <w:jc w:val="both"/>
        <w:rPr>
          <w:rFonts w:ascii="Aptos" w:hAnsi="Aptos" w:cs="Times New Roman"/>
        </w:rPr>
      </w:pPr>
      <w:r w:rsidRPr="00963712">
        <w:rPr>
          <w:rFonts w:ascii="Aptos" w:hAnsi="Aptos" w:cs="Times New Roman"/>
        </w:rPr>
        <w:t xml:space="preserve">Referente al tratamiento especial ambiental, del cual trata el articulo 32, se debe definir y </w:t>
      </w:r>
      <w:r w:rsidRPr="00963712">
        <w:rPr>
          <w:rStyle w:val="Strong"/>
          <w:rFonts w:ascii="Aptos" w:hAnsi="Aptos" w:cs="Times New Roman"/>
        </w:rPr>
        <w:t>enunciar expresamente</w:t>
      </w:r>
      <w:r w:rsidRPr="00963712">
        <w:rPr>
          <w:rFonts w:ascii="Aptos" w:hAnsi="Aptos" w:cs="Times New Roman"/>
        </w:rPr>
        <w:t xml:space="preserve"> el porcentaje (o escala) del descuento sobre el IPU.</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79B9" w14:textId="77777777" w:rsidR="003154C0" w:rsidRDefault="003154C0" w:rsidP="00707E60">
      <w:pPr>
        <w:spacing w:after="0" w:line="240" w:lineRule="auto"/>
      </w:pPr>
      <w:r>
        <w:separator/>
      </w:r>
    </w:p>
  </w:endnote>
  <w:endnote w:type="continuationSeparator" w:id="0">
    <w:p w14:paraId="25AAE7EB" w14:textId="77777777" w:rsidR="003154C0" w:rsidRDefault="003154C0"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62270" w14:textId="77777777" w:rsidR="003154C0" w:rsidRDefault="003154C0" w:rsidP="00707E60">
      <w:pPr>
        <w:spacing w:after="0" w:line="240" w:lineRule="auto"/>
      </w:pPr>
      <w:r>
        <w:separator/>
      </w:r>
    </w:p>
  </w:footnote>
  <w:footnote w:type="continuationSeparator" w:id="0">
    <w:p w14:paraId="29B2DE26" w14:textId="77777777" w:rsidR="003154C0" w:rsidRDefault="003154C0"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23EFA097" w14:textId="77777777" w:rsidR="00AA16EF" w:rsidRPr="00327CFA" w:rsidRDefault="00AA16EF" w:rsidP="00AA16EF">
                          <w:pPr>
                            <w:pStyle w:val="NoSpacing"/>
                            <w:rPr>
                              <w:b/>
                              <w:bCs/>
                              <w:color w:val="000000" w:themeColor="text1"/>
                            </w:rPr>
                          </w:pPr>
                          <w:r w:rsidRPr="00AB4389">
                            <w:rPr>
                              <w:b/>
                              <w:bCs/>
                              <w:color w:val="000000" w:themeColor="text1"/>
                            </w:rPr>
                            <w:t>Análisis Jurídico de Estatuto Tributario</w:t>
                          </w:r>
                        </w:p>
                        <w:p w14:paraId="55DF06F3" w14:textId="206E4E19"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7A49F6">
                            <w:rPr>
                              <w:color w:val="000000" w:themeColor="text1"/>
                              <w:sz w:val="28"/>
                              <w:szCs w:val="28"/>
                            </w:rPr>
                            <w:t>Vegachí</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23EFA097" w14:textId="77777777" w:rsidR="00AA16EF" w:rsidRPr="00327CFA" w:rsidRDefault="00AA16EF" w:rsidP="00AA16EF">
                    <w:pPr>
                      <w:pStyle w:val="NoSpacing"/>
                      <w:rPr>
                        <w:b/>
                        <w:bCs/>
                        <w:color w:val="000000" w:themeColor="text1"/>
                      </w:rPr>
                    </w:pPr>
                    <w:r w:rsidRPr="00AB4389">
                      <w:rPr>
                        <w:b/>
                        <w:bCs/>
                        <w:color w:val="000000" w:themeColor="text1"/>
                      </w:rPr>
                      <w:t>Análisis Jurídico de Estatuto Tributario</w:t>
                    </w:r>
                  </w:p>
                  <w:p w14:paraId="55DF06F3" w14:textId="206E4E19"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7A49F6">
                      <w:rPr>
                        <w:color w:val="000000" w:themeColor="text1"/>
                        <w:sz w:val="28"/>
                        <w:szCs w:val="28"/>
                      </w:rPr>
                      <w:t>Vegachí</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D2812"/>
    <w:multiLevelType w:val="multilevel"/>
    <w:tmpl w:val="DEE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48177E"/>
    <w:multiLevelType w:val="multilevel"/>
    <w:tmpl w:val="E5B2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704">
    <w:abstractNumId w:val="1"/>
  </w:num>
  <w:num w:numId="2" w16cid:durableId="1017347282">
    <w:abstractNumId w:val="2"/>
  </w:num>
  <w:num w:numId="3" w16cid:durableId="139880706">
    <w:abstractNumId w:val="3"/>
  </w:num>
  <w:num w:numId="4" w16cid:durableId="1002395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038BA"/>
    <w:rsid w:val="00211E44"/>
    <w:rsid w:val="0023618C"/>
    <w:rsid w:val="003154C0"/>
    <w:rsid w:val="003650D0"/>
    <w:rsid w:val="003A7CEA"/>
    <w:rsid w:val="003E2241"/>
    <w:rsid w:val="004107CA"/>
    <w:rsid w:val="005422DF"/>
    <w:rsid w:val="005C20CA"/>
    <w:rsid w:val="005F7A75"/>
    <w:rsid w:val="00605B4C"/>
    <w:rsid w:val="00665846"/>
    <w:rsid w:val="006A249B"/>
    <w:rsid w:val="00707E60"/>
    <w:rsid w:val="007A49F6"/>
    <w:rsid w:val="00813F67"/>
    <w:rsid w:val="0084474E"/>
    <w:rsid w:val="00844CC8"/>
    <w:rsid w:val="00845F02"/>
    <w:rsid w:val="00963712"/>
    <w:rsid w:val="009714F4"/>
    <w:rsid w:val="009D1F9E"/>
    <w:rsid w:val="00A27409"/>
    <w:rsid w:val="00A456B7"/>
    <w:rsid w:val="00A55C9A"/>
    <w:rsid w:val="00A60686"/>
    <w:rsid w:val="00A96461"/>
    <w:rsid w:val="00AA16EF"/>
    <w:rsid w:val="00B037CD"/>
    <w:rsid w:val="00BE54CF"/>
    <w:rsid w:val="00C04706"/>
    <w:rsid w:val="00C942B0"/>
    <w:rsid w:val="00D37EF2"/>
    <w:rsid w:val="00DB14E5"/>
    <w:rsid w:val="00E20840"/>
    <w:rsid w:val="00E608BE"/>
    <w:rsid w:val="00F27231"/>
    <w:rsid w:val="00F65205"/>
    <w:rsid w:val="00FA20FB"/>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707E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E60"/>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character" w:styleId="Strong">
    <w:name w:val="Strong"/>
    <w:basedOn w:val="DefaultParagraphFont"/>
    <w:uiPriority w:val="22"/>
    <w:qFormat/>
    <w:rsid w:val="009637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886</Words>
  <Characters>5053</Characters>
  <Application>Microsoft Office Word</Application>
  <DocSecurity>0</DocSecurity>
  <Lines>42</Lines>
  <Paragraphs>11</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9</cp:revision>
  <dcterms:created xsi:type="dcterms:W3CDTF">2025-10-23T17:12:00Z</dcterms:created>
  <dcterms:modified xsi:type="dcterms:W3CDTF">2025-11-04T16:25:00Z</dcterms:modified>
</cp:coreProperties>
</file>