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2F1B4B3D" w14:textId="77777777" w:rsidR="0084474E" w:rsidRDefault="0084474E" w:rsidP="0084474E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1594669D" w14:textId="24781DC8" w:rsidR="00707E60" w:rsidRPr="00707E60" w:rsidRDefault="00707E60" w:rsidP="0084474E">
      <w:pPr>
        <w:pStyle w:val="NoSpacing"/>
        <w:rPr>
          <w:b/>
          <w:bCs/>
          <w:color w:val="000000" w:themeColor="text1"/>
          <w:sz w:val="56"/>
          <w:szCs w:val="56"/>
        </w:rPr>
      </w:pP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C8B7B18" w14:textId="77777777" w:rsidR="002E1A79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2E1A79">
        <w:rPr>
          <w:color w:val="000000" w:themeColor="text1"/>
          <w:sz w:val="44"/>
          <w:szCs w:val="44"/>
        </w:rPr>
        <w:t>Yarumal</w:t>
      </w:r>
    </w:p>
    <w:p w14:paraId="2FE843B9" w14:textId="395C7F46" w:rsidR="00707E60" w:rsidRPr="00707E60" w:rsidRDefault="00707E60" w:rsidP="002E1A79">
      <w:pPr>
        <w:pStyle w:val="NoSpacing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 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7929153C" w14:textId="77777777" w:rsidR="00A30E5B" w:rsidRPr="00591212" w:rsidRDefault="00A30E5B" w:rsidP="00A30E5B">
      <w:pPr>
        <w:spacing w:line="360" w:lineRule="auto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El estado actual de su normatividad tributaria se establece en el Acuerdo 015 de 2021.</w:t>
      </w:r>
    </w:p>
    <w:p w14:paraId="3820915D" w14:textId="77777777" w:rsidR="00A30E5B" w:rsidRPr="00591212" w:rsidRDefault="00A30E5B" w:rsidP="00A30E5B">
      <w:pPr>
        <w:spacing w:line="360" w:lineRule="auto"/>
        <w:jc w:val="both"/>
        <w:rPr>
          <w:rFonts w:ascii="Aptos" w:hAnsi="Aptos" w:cs="Times New Roman"/>
          <w:sz w:val="32"/>
          <w:szCs w:val="32"/>
        </w:rPr>
      </w:pPr>
      <w:r w:rsidRPr="00591212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54756C48" w14:textId="77777777" w:rsidR="00A30E5B" w:rsidRPr="00591212" w:rsidRDefault="00A30E5B" w:rsidP="00A30E5B">
      <w:pPr>
        <w:numPr>
          <w:ilvl w:val="0"/>
          <w:numId w:val="11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37C7FBA5" w14:textId="77777777" w:rsidR="00A30E5B" w:rsidRPr="00591212" w:rsidRDefault="00A30E5B" w:rsidP="00A30E5B">
      <w:pPr>
        <w:numPr>
          <w:ilvl w:val="0"/>
          <w:numId w:val="11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El esquema por rangos en UVT y las tablas urbanas incluyen milajes con decimales (p. ej., 10.3‰, 10.4‰, 11.7‰).</w:t>
      </w:r>
    </w:p>
    <w:p w14:paraId="0E0DBB97" w14:textId="63F67292" w:rsidR="00A30E5B" w:rsidRPr="00591212" w:rsidRDefault="00A30E5B" w:rsidP="00A30E5B">
      <w:pPr>
        <w:numPr>
          <w:ilvl w:val="0"/>
          <w:numId w:val="11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 xml:space="preserve">La base gravable permite </w:t>
      </w:r>
      <w:r w:rsidR="00591212" w:rsidRPr="00591212">
        <w:rPr>
          <w:rFonts w:ascii="Aptos" w:hAnsi="Aptos" w:cs="Times New Roman"/>
        </w:rPr>
        <w:t>auto avalúo</w:t>
      </w:r>
      <w:r w:rsidRPr="00591212">
        <w:rPr>
          <w:rFonts w:ascii="Aptos" w:hAnsi="Aptos" w:cs="Times New Roman"/>
        </w:rPr>
        <w:t xml:space="preserve"> previa aprobación de la oficina catastral y habilita bases especiales para concesiones aeroportuarias; falta una base mínima objetiva para auto avalúos.</w:t>
      </w:r>
    </w:p>
    <w:p w14:paraId="3FE250BE" w14:textId="77777777" w:rsidR="00A30E5B" w:rsidRPr="00591212" w:rsidRDefault="00A30E5B" w:rsidP="00A30E5B">
      <w:pPr>
        <w:numPr>
          <w:ilvl w:val="0"/>
          <w:numId w:val="11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Se prevé compensación por obras de generación y transmisión (Ley 56 de 1981) con metodología de 150% sobre avalúo promedio.</w:t>
      </w:r>
    </w:p>
    <w:p w14:paraId="68406E66" w14:textId="77777777" w:rsidR="00A30E5B" w:rsidRPr="00591212" w:rsidRDefault="00A30E5B" w:rsidP="00A30E5B">
      <w:pPr>
        <w:numPr>
          <w:ilvl w:val="0"/>
          <w:numId w:val="11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La determinación por factura/documento de cobro con mérito ejecutivo y notificación por web/cartelera está prevista.</w:t>
      </w:r>
    </w:p>
    <w:p w14:paraId="0AD8360B" w14:textId="77777777" w:rsidR="00A30E5B" w:rsidRPr="00591212" w:rsidRDefault="00A30E5B" w:rsidP="00A30E5B">
      <w:pPr>
        <w:numPr>
          <w:ilvl w:val="0"/>
          <w:numId w:val="11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Se fija pago en cuatro cuotas trimestrales sujeto a calendario tributario; conviene articular expresamente ventanas, prórrogas, intereses y compatibilidades con beneficios (pronto pago, etc.).</w:t>
      </w:r>
    </w:p>
    <w:p w14:paraId="239E088F" w14:textId="77777777" w:rsidR="00A30E5B" w:rsidRPr="00591212" w:rsidRDefault="00A30E5B" w:rsidP="00A30E5B">
      <w:pPr>
        <w:numPr>
          <w:ilvl w:val="0"/>
          <w:numId w:val="11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Los límites del impuesto incluyen tope post-formación y límites de la Ley 1995 de 2019;.</w:t>
      </w:r>
    </w:p>
    <w:p w14:paraId="00BB1126" w14:textId="77777777" w:rsidR="00A30E5B" w:rsidRPr="00591212" w:rsidRDefault="00A30E5B" w:rsidP="00A30E5B">
      <w:pPr>
        <w:numPr>
          <w:ilvl w:val="0"/>
          <w:numId w:val="11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La sobretasa bomberil (5%) toma como base el valor liquidado trimestralmente del Impuesto Predial Unificado; no existe armonización expresa con los límites de incremento del IPU ni reglas de gradualidad, con riesgo de desbordar topes y generar incoherencias en la carga total.</w:t>
      </w:r>
    </w:p>
    <w:p w14:paraId="238D7EF3" w14:textId="77777777" w:rsidR="00A30E5B" w:rsidRPr="00591212" w:rsidRDefault="00A30E5B" w:rsidP="00A30E5B">
      <w:pPr>
        <w:numPr>
          <w:ilvl w:val="0"/>
          <w:numId w:val="11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 xml:space="preserve">Inmuebles de prohibido gravamen listan “playas”, figura impropia para el territorio de Yarumal; además se mezclan exclusiones (prohibido gravamen) con requisitos de acceso parciales, sin verificación cartográfica ni causales de pérdida. Beneficios, exenciones y </w:t>
      </w:r>
      <w:r w:rsidRPr="00591212">
        <w:rPr>
          <w:rFonts w:ascii="Aptos" w:hAnsi="Aptos" w:cs="Times New Roman"/>
        </w:rPr>
        <w:lastRenderedPageBreak/>
        <w:t>prohibiciones con enfoque ambiental o de uso del suelo: la sobretasa ambiental se liquida al 1,5‰ sobre el avalúo y aplica incluso a exentos; falta armonizar su aplicación con límites del IPU y precisar controles de focalización y costo fiscal.</w:t>
      </w:r>
    </w:p>
    <w:p w14:paraId="064C0733" w14:textId="77777777" w:rsidR="00A30E5B" w:rsidRPr="00591212" w:rsidRDefault="00A30E5B" w:rsidP="00A30E5B">
      <w:pPr>
        <w:spacing w:line="360" w:lineRule="auto"/>
        <w:jc w:val="both"/>
        <w:rPr>
          <w:rFonts w:ascii="Aptos" w:hAnsi="Aptos" w:cs="Times New Roman"/>
          <w:sz w:val="32"/>
          <w:szCs w:val="32"/>
        </w:rPr>
      </w:pPr>
      <w:r w:rsidRPr="00591212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2DBCE31E" w14:textId="77777777" w:rsidR="00A30E5B" w:rsidRPr="00591212" w:rsidRDefault="00A30E5B" w:rsidP="00A30E5B">
      <w:pPr>
        <w:numPr>
          <w:ilvl w:val="0"/>
          <w:numId w:val="12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4261BED7" w14:textId="77777777" w:rsidR="00A30E5B" w:rsidRPr="00591212" w:rsidRDefault="00A30E5B" w:rsidP="00A30E5B">
      <w:pPr>
        <w:numPr>
          <w:ilvl w:val="0"/>
          <w:numId w:val="12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Homologar toda la matriz tarifaria (urbana y rural) al LADM-COL v4.1 mediante acto anexo de correspondencias y ajustes de rótulos; cerrar vacíos y solapamientos y documentar criterios por destinación y rango de avalúo.</w:t>
      </w:r>
    </w:p>
    <w:p w14:paraId="3AE3247F" w14:textId="77777777" w:rsidR="00A30E5B" w:rsidRPr="00591212" w:rsidRDefault="00A30E5B" w:rsidP="00A30E5B">
      <w:pPr>
        <w:numPr>
          <w:ilvl w:val="0"/>
          <w:numId w:val="12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Desarrollar el contenido mínimo de la factura (identificación del predio, base, tarifa, liquidación, fundamentos y recursos), protocolo de publicación (web/cartelera), constancias y habilitación de domicilio electrónico para fortalecer el mérito ejecutivo.</w:t>
      </w:r>
    </w:p>
    <w:p w14:paraId="36FBEAF6" w14:textId="77777777" w:rsidR="00A30E5B" w:rsidRPr="00591212" w:rsidRDefault="00A30E5B" w:rsidP="00A30E5B">
      <w:pPr>
        <w:numPr>
          <w:ilvl w:val="0"/>
          <w:numId w:val="12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>Alinear la sobretasa bomberil con los límites y la gradualidad del IPU: establecer de forma expresa que los topes, transiciones y reglas de incremento aplicables al IPU también rigen para la sobretasa cuando su base sea el valor liquidado del IPU</w:t>
      </w:r>
    </w:p>
    <w:p w14:paraId="7971BC80" w14:textId="02FF310E" w:rsidR="00A30E5B" w:rsidRPr="00591212" w:rsidRDefault="00A30E5B" w:rsidP="00A30E5B">
      <w:pPr>
        <w:numPr>
          <w:ilvl w:val="0"/>
          <w:numId w:val="12"/>
        </w:numPr>
        <w:spacing w:line="360" w:lineRule="auto"/>
        <w:jc w:val="both"/>
        <w:rPr>
          <w:rFonts w:ascii="Aptos" w:hAnsi="Aptos" w:cs="Times New Roman"/>
        </w:rPr>
      </w:pPr>
      <w:r w:rsidRPr="00591212">
        <w:rPr>
          <w:rFonts w:ascii="Aptos" w:hAnsi="Aptos" w:cs="Times New Roman"/>
        </w:rPr>
        <w:t xml:space="preserve">Ajustar el listado de “prohibido gravamen” eliminando referencias impropias (p. ej., “playas”) y separar estrictamente exclusiones de exenciones </w:t>
      </w:r>
    </w:p>
    <w:p w14:paraId="597059D7" w14:textId="77777777" w:rsidR="00707E60" w:rsidRDefault="00707E60"/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F3DFD" w14:textId="77777777" w:rsidR="004872B4" w:rsidRDefault="004872B4" w:rsidP="00707E60">
      <w:pPr>
        <w:spacing w:after="0" w:line="240" w:lineRule="auto"/>
      </w:pPr>
      <w:r>
        <w:separator/>
      </w:r>
    </w:p>
  </w:endnote>
  <w:endnote w:type="continuationSeparator" w:id="0">
    <w:p w14:paraId="7EBD9EF2" w14:textId="77777777" w:rsidR="004872B4" w:rsidRDefault="004872B4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22164" w14:textId="77777777" w:rsidR="004872B4" w:rsidRDefault="004872B4" w:rsidP="00707E60">
      <w:pPr>
        <w:spacing w:after="0" w:line="240" w:lineRule="auto"/>
      </w:pPr>
      <w:r>
        <w:separator/>
      </w:r>
    </w:p>
  </w:footnote>
  <w:footnote w:type="continuationSeparator" w:id="0">
    <w:p w14:paraId="4EE26391" w14:textId="77777777" w:rsidR="004872B4" w:rsidRDefault="004872B4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EFA097" w14:textId="77777777" w:rsidR="00AA16EF" w:rsidRPr="00327CFA" w:rsidRDefault="00AA16EF" w:rsidP="00AA16EF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1AC95747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2E1A79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Yarumal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23EFA097" w14:textId="77777777" w:rsidR="00AA16EF" w:rsidRPr="00327CFA" w:rsidRDefault="00AA16EF" w:rsidP="00AA16EF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1AC95747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2E1A79">
                      <w:rPr>
                        <w:color w:val="000000" w:themeColor="text1"/>
                        <w:sz w:val="28"/>
                        <w:szCs w:val="28"/>
                      </w:rPr>
                      <w:t>Yarumal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2A4"/>
    <w:multiLevelType w:val="multilevel"/>
    <w:tmpl w:val="058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9F7"/>
    <w:multiLevelType w:val="multilevel"/>
    <w:tmpl w:val="67CE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33B35"/>
    <w:multiLevelType w:val="multilevel"/>
    <w:tmpl w:val="36A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126C1"/>
    <w:multiLevelType w:val="multilevel"/>
    <w:tmpl w:val="E49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B0A23"/>
    <w:multiLevelType w:val="multilevel"/>
    <w:tmpl w:val="1EE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D2812"/>
    <w:multiLevelType w:val="multilevel"/>
    <w:tmpl w:val="DEE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1539E3"/>
    <w:multiLevelType w:val="multilevel"/>
    <w:tmpl w:val="4184E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684DE7"/>
    <w:multiLevelType w:val="multilevel"/>
    <w:tmpl w:val="D8F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F7B2C"/>
    <w:multiLevelType w:val="multilevel"/>
    <w:tmpl w:val="4184E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48177E"/>
    <w:multiLevelType w:val="multilevel"/>
    <w:tmpl w:val="E5B2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6"/>
  </w:num>
  <w:num w:numId="2" w16cid:durableId="1017347282">
    <w:abstractNumId w:val="7"/>
  </w:num>
  <w:num w:numId="3" w16cid:durableId="139880706">
    <w:abstractNumId w:val="11"/>
  </w:num>
  <w:num w:numId="4" w16cid:durableId="1002395279">
    <w:abstractNumId w:val="5"/>
  </w:num>
  <w:num w:numId="5" w16cid:durableId="74599418">
    <w:abstractNumId w:val="9"/>
  </w:num>
  <w:num w:numId="6" w16cid:durableId="738556425">
    <w:abstractNumId w:val="1"/>
  </w:num>
  <w:num w:numId="7" w16cid:durableId="149954625">
    <w:abstractNumId w:val="8"/>
  </w:num>
  <w:num w:numId="8" w16cid:durableId="1103109470">
    <w:abstractNumId w:val="10"/>
  </w:num>
  <w:num w:numId="9" w16cid:durableId="1536189407">
    <w:abstractNumId w:val="0"/>
  </w:num>
  <w:num w:numId="10" w16cid:durableId="845362966">
    <w:abstractNumId w:val="2"/>
  </w:num>
  <w:num w:numId="11" w16cid:durableId="322439786">
    <w:abstractNumId w:val="4"/>
  </w:num>
  <w:num w:numId="12" w16cid:durableId="520358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63ED2"/>
    <w:rsid w:val="00084B98"/>
    <w:rsid w:val="000F6735"/>
    <w:rsid w:val="00120797"/>
    <w:rsid w:val="00134527"/>
    <w:rsid w:val="002038BA"/>
    <w:rsid w:val="00211E44"/>
    <w:rsid w:val="0023618C"/>
    <w:rsid w:val="002C5808"/>
    <w:rsid w:val="002E1A79"/>
    <w:rsid w:val="003154C0"/>
    <w:rsid w:val="00340F0A"/>
    <w:rsid w:val="003650D0"/>
    <w:rsid w:val="003A7CEA"/>
    <w:rsid w:val="003B599D"/>
    <w:rsid w:val="003E2241"/>
    <w:rsid w:val="004107CA"/>
    <w:rsid w:val="004872B4"/>
    <w:rsid w:val="004A3A13"/>
    <w:rsid w:val="005422DF"/>
    <w:rsid w:val="00591212"/>
    <w:rsid w:val="0059338F"/>
    <w:rsid w:val="005C20CA"/>
    <w:rsid w:val="005F7A75"/>
    <w:rsid w:val="00605B4C"/>
    <w:rsid w:val="00661578"/>
    <w:rsid w:val="00665846"/>
    <w:rsid w:val="006A249B"/>
    <w:rsid w:val="00707E60"/>
    <w:rsid w:val="007A49F6"/>
    <w:rsid w:val="00813F67"/>
    <w:rsid w:val="0084474E"/>
    <w:rsid w:val="00844CC8"/>
    <w:rsid w:val="00845F02"/>
    <w:rsid w:val="00912DFC"/>
    <w:rsid w:val="00963712"/>
    <w:rsid w:val="009714F4"/>
    <w:rsid w:val="009D1F9E"/>
    <w:rsid w:val="00A27409"/>
    <w:rsid w:val="00A30E5B"/>
    <w:rsid w:val="00A456B7"/>
    <w:rsid w:val="00A55C9A"/>
    <w:rsid w:val="00A60686"/>
    <w:rsid w:val="00A96461"/>
    <w:rsid w:val="00AA16EF"/>
    <w:rsid w:val="00B037CD"/>
    <w:rsid w:val="00BE54CF"/>
    <w:rsid w:val="00C04706"/>
    <w:rsid w:val="00C942B0"/>
    <w:rsid w:val="00C969A1"/>
    <w:rsid w:val="00D37EF2"/>
    <w:rsid w:val="00DB14E5"/>
    <w:rsid w:val="00E20840"/>
    <w:rsid w:val="00E52944"/>
    <w:rsid w:val="00E608BE"/>
    <w:rsid w:val="00F27231"/>
    <w:rsid w:val="00F65205"/>
    <w:rsid w:val="00FA20FB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707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6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character" w:styleId="Strong">
    <w:name w:val="Strong"/>
    <w:basedOn w:val="DefaultParagraphFont"/>
    <w:uiPriority w:val="22"/>
    <w:qFormat/>
    <w:rsid w:val="00963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20</cp:revision>
  <dcterms:created xsi:type="dcterms:W3CDTF">2025-10-23T17:12:00Z</dcterms:created>
  <dcterms:modified xsi:type="dcterms:W3CDTF">2025-11-04T16:31:00Z</dcterms:modified>
</cp:coreProperties>
</file>