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4BACEA0B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6860265F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214B87">
        <w:rPr>
          <w:color w:val="000000" w:themeColor="text1"/>
          <w:sz w:val="44"/>
          <w:szCs w:val="44"/>
        </w:rPr>
        <w:t>Yolombó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7DAADD8C" w14:textId="77777777" w:rsidR="00F15DC3" w:rsidRPr="00F15DC3" w:rsidRDefault="00F15DC3" w:rsidP="00F15DC3">
      <w:pPr>
        <w:spacing w:line="360" w:lineRule="auto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lastRenderedPageBreak/>
        <w:t>El estado actual de su normatividad tributaria se establece en el Acuerdo 17 de 2020.</w:t>
      </w:r>
    </w:p>
    <w:p w14:paraId="36361D56" w14:textId="2847DCE4" w:rsidR="00F15DC3" w:rsidRPr="00F15DC3" w:rsidRDefault="00F15DC3" w:rsidP="00F15DC3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F15DC3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68A5F01B" w14:textId="1D6E2776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31E24EE5" w14:textId="058BB432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Falta de incorporación del procedimiento operativo catastral vigente: no se integra la Resolución 1040 de 2023 (mutaciones, flujos de información, interoperabilidad y roles) al diseño operativo del capítulo tributario, pese a remisiones generales a normas de catastro.</w:t>
      </w:r>
      <w:r w:rsidRPr="00F15DC3">
        <w:rPr>
          <w:rFonts w:ascii="Aptos" w:hAnsi="Aptos" w:cs="Times New Roman"/>
        </w:rPr>
        <w:br/>
        <w:t>• Estructura tarifaria: se afirma un rango general entre 1‰ y 16‰ y, a la vez, la matriz utiliza montos en UVT como “tarifa” (p. ej., 0,5 UVT) para ciertos tramos y destinos (habitacional e industrial), lo que desnaturaliza el impuesto (la tarifa debe ser un milaje aplicado al avalúo) y genera trato dispar dentro de la misma matriz.</w:t>
      </w:r>
    </w:p>
    <w:p w14:paraId="6BF1C069" w14:textId="45996DDF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Lotes urbanizados no construidos y urbanizables no urbanizados: se prevén tarifas hasta 33‰ en urbano y 30‰ en rural; la matriz adicional introduce categorías y tramos que conviven con estos topes sin una regla de prelación clara.</w:t>
      </w:r>
    </w:p>
    <w:p w14:paraId="3421D295" w14:textId="65744BF0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Límites al impuesto por pagar: coexisten dos esquemas distintos (tope por “doble” del año anterior y límites diferenciales tipo IPC+8, 50%, reglas para estratos y exclusiones por cambios físicos/destino), sin una armonización expresa ni coordinación con tributos atados al IPU, lo que puede generar saltos y ambigüedades de aplicación.</w:t>
      </w:r>
    </w:p>
    <w:p w14:paraId="1098708E" w14:textId="77777777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Determinación oficial y facturación: se prevé el sistema de facturación con mérito ejecutivo y notificación por cartelera y portal web.</w:t>
      </w:r>
    </w:p>
    <w:p w14:paraId="22E9E36B" w14:textId="592AEDD9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Periodicidad y pago: se alude a facturas trimestrales en escenarios de incumplimiento y a remisiones ambientales trimestrales, y se pospone a “resolución de calendario” la definición de fechas.</w:t>
      </w:r>
    </w:p>
    <w:p w14:paraId="01C64F60" w14:textId="77777777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Régimen de no sujeción/prohibido gravamen y beneficios: existen listados dispersos de bienes no sujetos/prohibidos (uso público, algunos bienes públicos locales, educación pública, juntas de acción comunal, entre otros), pero no se estructura un bloque sistemático de “prohibido gravamen” separado de “exenciones”; no se identifican exenciones prediales específicas ni su vigencia, requisitos o no concurrencia.</w:t>
      </w:r>
    </w:p>
    <w:p w14:paraId="2FDFBEA3" w14:textId="77777777" w:rsidR="00F15DC3" w:rsidRPr="00F15DC3" w:rsidRDefault="00F15DC3" w:rsidP="00F15DC3">
      <w:pPr>
        <w:pStyle w:val="ListParagraph"/>
        <w:rPr>
          <w:rFonts w:ascii="Aptos" w:hAnsi="Aptos" w:cs="Times New Roman"/>
        </w:rPr>
      </w:pPr>
    </w:p>
    <w:p w14:paraId="73DA25A8" w14:textId="7F7AB4CA" w:rsid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lastRenderedPageBreak/>
        <w:t>Porcentaje ambiental” del 15% sobre el recaudo del IPU.</w:t>
      </w:r>
    </w:p>
    <w:p w14:paraId="5DB40F80" w14:textId="77777777" w:rsidR="00F15DC3" w:rsidRPr="00F15DC3" w:rsidRDefault="00F15DC3" w:rsidP="00F15DC3">
      <w:pPr>
        <w:widowControl w:val="0"/>
        <w:spacing w:after="0" w:line="360" w:lineRule="auto"/>
        <w:jc w:val="both"/>
        <w:rPr>
          <w:rFonts w:ascii="Aptos" w:hAnsi="Aptos" w:cs="Times New Roman"/>
        </w:rPr>
      </w:pPr>
    </w:p>
    <w:p w14:paraId="3FF84407" w14:textId="566AF5F9" w:rsidR="00F15DC3" w:rsidRPr="00F15DC3" w:rsidRDefault="00F15DC3" w:rsidP="00F15DC3">
      <w:pPr>
        <w:spacing w:line="360" w:lineRule="auto"/>
        <w:rPr>
          <w:rFonts w:ascii="Aptos" w:hAnsi="Aptos" w:cs="Times New Roman"/>
          <w:sz w:val="32"/>
          <w:szCs w:val="32"/>
        </w:rPr>
      </w:pPr>
      <w:r w:rsidRPr="00F15DC3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409585F4" w14:textId="17E538B3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24F51467" w14:textId="12CC6A38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Incorporar de forma expresa el procedimiento operativo de la Resolución 1040 de 2023 en el capítulo de IPU.</w:t>
      </w:r>
    </w:p>
    <w:p w14:paraId="02A9C519" w14:textId="0E13D121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Depurar la matriz tarifaria para suprimir cualquier “tarifa” expresada en UVT y consolidar un único esquema de milajes por destino económico sobre el avalúo; mantener, cuando corresponda, bandas de 1‰–16‰ y los topes de 33‰/30‰ para lotes, con reglas claras de identificación y prueba del destino.</w:t>
      </w:r>
    </w:p>
    <w:p w14:paraId="4AFDA887" w14:textId="65258427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Crear límites del aumento del IPU para escenarios de actualización y rezago, y coordinar su aplicación respecto de tributos atados al IPU (sobretasa bomberil y ambiental).</w:t>
      </w:r>
    </w:p>
    <w:p w14:paraId="0037183E" w14:textId="77777777" w:rsidR="00F15DC3" w:rsidRPr="00F15DC3" w:rsidRDefault="00F15DC3" w:rsidP="00F15DC3">
      <w:pPr>
        <w:pStyle w:val="ListParagraph"/>
        <w:widowControl w:val="0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F15DC3">
        <w:rPr>
          <w:rFonts w:ascii="Aptos" w:hAnsi="Aptos" w:cs="Times New Roman"/>
        </w:rPr>
        <w:t>Fortalecer la determinación por factura con mérito ejecutivo: precisar contenido mínimo y forma de notificación.</w:t>
      </w:r>
    </w:p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E286" w14:textId="77777777" w:rsidR="00532333" w:rsidRDefault="00532333" w:rsidP="00707E60">
      <w:pPr>
        <w:spacing w:after="0" w:line="240" w:lineRule="auto"/>
      </w:pPr>
      <w:r>
        <w:separator/>
      </w:r>
    </w:p>
  </w:endnote>
  <w:endnote w:type="continuationSeparator" w:id="0">
    <w:p w14:paraId="6F45086E" w14:textId="77777777" w:rsidR="00532333" w:rsidRDefault="00532333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55EB" w14:textId="77777777" w:rsidR="00532333" w:rsidRDefault="00532333" w:rsidP="00707E60">
      <w:pPr>
        <w:spacing w:after="0" w:line="240" w:lineRule="auto"/>
      </w:pPr>
      <w:r>
        <w:separator/>
      </w:r>
    </w:p>
  </w:footnote>
  <w:footnote w:type="continuationSeparator" w:id="0">
    <w:p w14:paraId="47AFFEBE" w14:textId="77777777" w:rsidR="00532333" w:rsidRDefault="00532333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59162596">
              <wp:simplePos x="0" y="0"/>
              <wp:positionH relativeFrom="column">
                <wp:posOffset>38500</wp:posOffset>
              </wp:positionH>
              <wp:positionV relativeFrom="paragraph">
                <wp:posOffset>-112696</wp:posOffset>
              </wp:positionV>
              <wp:extent cx="3484345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345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27B7DC16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Ficha Municipio</w:t>
                          </w:r>
                          <w:r w:rsidR="0072362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AA1A05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Yolombó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3.05pt;margin-top:-8.85pt;width:274.3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27B7DC16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>Ficha Municipio</w:t>
                    </w:r>
                    <w:r w:rsidR="0072362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AA1A05">
                      <w:rPr>
                        <w:color w:val="000000" w:themeColor="text1"/>
                        <w:sz w:val="28"/>
                        <w:szCs w:val="28"/>
                      </w:rPr>
                      <w:t>Yolombó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12D9"/>
    <w:multiLevelType w:val="hybridMultilevel"/>
    <w:tmpl w:val="C82CDE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4205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31374"/>
    <w:multiLevelType w:val="hybridMultilevel"/>
    <w:tmpl w:val="E294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656B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0129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7385E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C1018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6174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91FF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80CED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713C9"/>
    <w:multiLevelType w:val="hybridMultilevel"/>
    <w:tmpl w:val="506C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62DA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DF2431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2D16B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011F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704">
    <w:abstractNumId w:val="7"/>
  </w:num>
  <w:num w:numId="2" w16cid:durableId="1017347282">
    <w:abstractNumId w:val="11"/>
  </w:num>
  <w:num w:numId="3" w16cid:durableId="44450645">
    <w:abstractNumId w:val="15"/>
  </w:num>
  <w:num w:numId="4" w16cid:durableId="1953855267">
    <w:abstractNumId w:val="1"/>
  </w:num>
  <w:num w:numId="5" w16cid:durableId="279457733">
    <w:abstractNumId w:val="8"/>
  </w:num>
  <w:num w:numId="6" w16cid:durableId="829055416">
    <w:abstractNumId w:val="2"/>
  </w:num>
  <w:num w:numId="7" w16cid:durableId="1974747392">
    <w:abstractNumId w:val="6"/>
  </w:num>
  <w:num w:numId="8" w16cid:durableId="1342120387">
    <w:abstractNumId w:val="14"/>
  </w:num>
  <w:num w:numId="9" w16cid:durableId="350257001">
    <w:abstractNumId w:val="5"/>
  </w:num>
  <w:num w:numId="10" w16cid:durableId="1078140204">
    <w:abstractNumId w:val="9"/>
  </w:num>
  <w:num w:numId="11" w16cid:durableId="1792938771">
    <w:abstractNumId w:val="10"/>
  </w:num>
  <w:num w:numId="12" w16cid:durableId="1526560268">
    <w:abstractNumId w:val="16"/>
  </w:num>
  <w:num w:numId="13" w16cid:durableId="684139451">
    <w:abstractNumId w:val="17"/>
  </w:num>
  <w:num w:numId="14" w16cid:durableId="2066485375">
    <w:abstractNumId w:val="18"/>
  </w:num>
  <w:num w:numId="15" w16cid:durableId="1048799774">
    <w:abstractNumId w:val="4"/>
  </w:num>
  <w:num w:numId="16" w16cid:durableId="763765178">
    <w:abstractNumId w:val="12"/>
  </w:num>
  <w:num w:numId="17" w16cid:durableId="2015180867">
    <w:abstractNumId w:val="3"/>
  </w:num>
  <w:num w:numId="18" w16cid:durableId="1385369495">
    <w:abstractNumId w:val="13"/>
  </w:num>
  <w:num w:numId="19" w16cid:durableId="73747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84B98"/>
    <w:rsid w:val="000A749B"/>
    <w:rsid w:val="00120797"/>
    <w:rsid w:val="00134527"/>
    <w:rsid w:val="00211E44"/>
    <w:rsid w:val="00214B87"/>
    <w:rsid w:val="0023618C"/>
    <w:rsid w:val="0031580C"/>
    <w:rsid w:val="003650D0"/>
    <w:rsid w:val="003A7CEA"/>
    <w:rsid w:val="003E2241"/>
    <w:rsid w:val="004107CA"/>
    <w:rsid w:val="00532333"/>
    <w:rsid w:val="005422DF"/>
    <w:rsid w:val="005C3FCA"/>
    <w:rsid w:val="005D08ED"/>
    <w:rsid w:val="005F7A75"/>
    <w:rsid w:val="00605B4C"/>
    <w:rsid w:val="00665846"/>
    <w:rsid w:val="006A249B"/>
    <w:rsid w:val="00701CC9"/>
    <w:rsid w:val="00707E60"/>
    <w:rsid w:val="00723620"/>
    <w:rsid w:val="00813F67"/>
    <w:rsid w:val="00844CC8"/>
    <w:rsid w:val="00845F02"/>
    <w:rsid w:val="00855468"/>
    <w:rsid w:val="009D1788"/>
    <w:rsid w:val="009D1F9E"/>
    <w:rsid w:val="00A27409"/>
    <w:rsid w:val="00A53B01"/>
    <w:rsid w:val="00A55C9A"/>
    <w:rsid w:val="00A60686"/>
    <w:rsid w:val="00A96461"/>
    <w:rsid w:val="00AA1A05"/>
    <w:rsid w:val="00AA7DD4"/>
    <w:rsid w:val="00B05C5D"/>
    <w:rsid w:val="00B9278F"/>
    <w:rsid w:val="00B9597A"/>
    <w:rsid w:val="00BC7035"/>
    <w:rsid w:val="00BE3801"/>
    <w:rsid w:val="00C04706"/>
    <w:rsid w:val="00C24423"/>
    <w:rsid w:val="00C3440A"/>
    <w:rsid w:val="00C4509C"/>
    <w:rsid w:val="00C942B0"/>
    <w:rsid w:val="00D37EF2"/>
    <w:rsid w:val="00DB14E5"/>
    <w:rsid w:val="00DB3E82"/>
    <w:rsid w:val="00DD0016"/>
    <w:rsid w:val="00E20840"/>
    <w:rsid w:val="00E608BE"/>
    <w:rsid w:val="00F15DC3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15</cp:revision>
  <dcterms:created xsi:type="dcterms:W3CDTF">2025-10-23T17:12:00Z</dcterms:created>
  <dcterms:modified xsi:type="dcterms:W3CDTF">2025-11-12T12:51:00Z</dcterms:modified>
</cp:coreProperties>
</file>