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png" ContentType="image/png"/>
  <Override PartName="/word/media/rId12.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19.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41.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10.png" ContentType="image/png"/>
  <Override PartName="/word/media/rId160.png" ContentType="image/png"/>
  <Override PartName="/word/media/rId163.png" ContentType="image/png"/>
  <Override PartName="/word/media/rId166.png" ContentType="image/png"/>
  <Override PartName="/word/media/rId169.png" ContentType="image/png"/>
  <Override PartName="/word/media/rId172.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177.png" ContentType="image/png"/>
  <Override PartName="/word/media/rId206.png" ContentType="image/png"/>
  <Override PartName="/word/media/rId209.png" ContentType="image/png"/>
  <Override PartName="/word/media/rId212.png" ContentType="image/png"/>
  <Override PartName="/word/media/rId203.png" ContentType="image/png"/>
  <Override PartName="/word/media/rId219.png" ContentType="image/png"/>
  <Override PartName="/word/media/rId222.png" ContentType="image/png"/>
  <Override PartName="/word/media/rId225.png" ContentType="image/png"/>
  <Override PartName="/word/media/rId228.png" ContentType="image/png"/>
  <Override PartName="/word/media/rId216.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34.png" ContentType="image/png"/>
  <Override PartName="/word/media/rId2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Diagnóstico Integral Territorial — Provincia Turística y Agroecológica</w:t>
      </w:r>
    </w:p>
    <w:p>
      <w:pPr>
        <w:pStyle w:val="Subtitle"/>
      </w:pPr>
      <w:r>
        <w:t xml:space="preserve">Contexto departamental y provincial extendido</w:t>
      </w:r>
    </w:p>
    <w:p>
      <w:pPr>
        <w:pStyle w:val="Author"/>
      </w:pPr>
      <w:r>
        <w:t xml:space="preserve">Proyecto Provincias · Planes Estratégicos Provinciales de Antioquia</w:t>
      </w:r>
    </w:p>
    <w:p>
      <w:pPr>
        <w:pStyle w:val="Date"/>
      </w:pPr>
      <w:r>
        <w:t xml:space="preserve">18 de agosto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Cómo leer este borrador.</w:t>
      </w:r>
      <w:r>
        <w:t xml:space="preserve"> </w:t>
      </w:r>
      <w:r>
        <w:t xml:space="preserve">La estructura y los encabezados son los del</w:t>
      </w:r>
      <w:r>
        <w:t xml:space="preserve"> </w:t>
      </w:r>
      <w:r>
        <w:t xml:space="preserve">Anexo 1. Todo el texto se generó desde las tablas que produce el flujo:</w:t>
      </w:r>
      <w:r>
        <w:t xml:space="preserve"> </w:t>
      </w:r>
      <w:r>
        <w:t xml:space="preserve">ninguna cifra está escrita a mano y cada afirmación se apoya en un valor</w:t>
      </w:r>
      <w:r>
        <w:t xml:space="preserve"> </w:t>
      </w:r>
      <w:r>
        <w:t xml:space="preserve">calculado. Si una cifra es incorrecta, se corrige en el flujo y se</w:t>
      </w:r>
      <w:r>
        <w:t xml:space="preserve"> </w:t>
      </w:r>
      <w:r>
        <w:t xml:space="preserve">regenera el borrador; no se edita aquí.</w:t>
      </w:r>
    </w:p>
    <w:p>
      <w:pPr>
        <w:pStyle w:val="BlockText"/>
      </w:pPr>
      <w:r>
        <w:t xml:space="preserve">Las notas</w:t>
      </w:r>
      <w:r>
        <w:t xml:space="preserve"> </w:t>
      </w:r>
      <w:r>
        <w:rPr>
          <w:b/>
          <w:bCs/>
        </w:rPr>
        <w:t xml:space="preserve">Verificar con el equipo</w:t>
      </w:r>
      <w:r>
        <w:t xml:space="preserve"> </w:t>
      </w:r>
      <w:r>
        <w:t xml:space="preserve">marcan lo que el dato no puede</w:t>
      </w:r>
      <w:r>
        <w:t xml:space="preserve"> </w:t>
      </w:r>
      <w:r>
        <w:t xml:space="preserve">sostener por sí solo —causas, contexto institucional, información de</w:t>
      </w:r>
      <w:r>
        <w:t xml:space="preserve"> </w:t>
      </w:r>
      <w:r>
        <w:t xml:space="preserve">campo—. Están donde el informe querría afirmar algo que exige una fuente</w:t>
      </w:r>
      <w:r>
        <w:t xml:space="preserve"> </w:t>
      </w:r>
      <w:r>
        <w:t xml:space="preserve">que este flujo no tiene. Resolverlas es el trabajo que queda.</w:t>
      </w:r>
    </w:p>
    <w:p>
      <w:pPr>
        <w:pStyle w:val="BlockText"/>
      </w:pPr>
      <w:r>
        <w:t xml:space="preserve">Antes de dar una sección por terminada, pase la lista de verificación de</w:t>
      </w:r>
      <w:r>
        <w:t xml:space="preserve"> </w:t>
      </w:r>
      <w:r>
        <w:rPr>
          <w:rStyle w:val="VerbatimChar"/>
        </w:rPr>
        <w:t xml:space="preserve">04_Docs/plan_escritura_provincial.md</w:t>
      </w:r>
      <w:r>
        <w:t xml:space="preserve"> </w:t>
      </w:r>
      <w:r>
        <w:t xml:space="preserve">§7.</w:t>
      </w:r>
    </w:p>
    <w:bookmarkStart w:id="257" w:name="contexto-departamental-y-provincial"/>
    <w:p>
      <w:pPr>
        <w:pStyle w:val="Heading2"/>
      </w:pPr>
      <w:r>
        <w:t xml:space="preserve">Contexto departamental y provincial</w:t>
      </w:r>
    </w:p>
    <w:p>
      <w:pPr>
        <w:pStyle w:val="FirstParagraph"/>
      </w:pPr>
      <w:r>
        <w:t xml:space="preserve">La Provincia Administrativa y de Planificación Turística y Agroecológica está conformada por 7 municipios, todos de la subregión OCCIDENTE. Sobre una extensión de 1.315 km², la Provincia reúne una población proyectada de 66.792 habitantes para 2025, de los cuales el 66,0 % reside en zona rural.</w:t>
      </w:r>
    </w:p>
    <w:p>
      <w:pPr>
        <w:pStyle w:val="BodyText"/>
      </w:pPr>
      <w:r>
        <w:t xml:space="preserve">Los municipios que la integran son Buriticá, Ebéjico, Giraldo, Heliconia, Olaya, Sabanalarga y San Jerónimo.</w:t>
      </w:r>
    </w:p>
    <w:bookmarkStart w:id="18" w:name="X0b3815ba3a6e4e162ad3c1e56a7f9d585fdabc5"/>
    <w:p>
      <w:pPr>
        <w:pStyle w:val="Heading3"/>
      </w:pPr>
      <w:r>
        <w:t xml:space="preserve">Generalidades –contexto departamental y provincial-</w:t>
      </w:r>
    </w:p>
    <w:p>
      <w:pPr>
        <w:pStyle w:val="FirstParagraph"/>
      </w:pPr>
      <w:r>
        <w:t xml:space="preserve">La Provincia Turística y Agroecológica se extiende sobre 1.315 km² distribuidos entre sus 7 municipios. La superficie está concentrada: Buriticá y Sabanalarga reúnen el 47 % del territorio provincial, mientras que Olaya (87 km²) y Giraldo (93 km²) registran las menores extensiones. La razón entre el municipio más extenso y el más pequeño es de 4,1 a 1, una brecha amplia en términos de la escala a la que cada administración municipal debe operar.</w:t>
      </w:r>
    </w:p>
    <w:p>
      <w:pPr>
        <w:pStyle w:val="BodyText"/>
      </w:pPr>
      <w:r>
        <w:t xml:space="preserve">Esa desigualdad de tamaño no es un dato administrativo menor. Un municipio como Buriticá, con 355 km², tiene que llevar servicios a un territorio 4 veces mayor que Olaya con una estructura institucional que la categorización municipal no diferencia en la misma proporción. La distancia entre cabeceras, el costo de la red terciaria y el alcance real de cualquier intervención supramunicipal dependen de esta geometría, y conviene tenerla presente al dimensionar las apuestas del Plan.</w:t>
      </w:r>
    </w:p>
    <w:p>
      <w:pPr>
        <w:pStyle w:val="BodyText"/>
      </w:pPr>
      <w:r>
        <w:t xml:space="preserve">En el contexto departamental, la Provincia representa el 2,1 % de la superficie de Antioquia.</w:t>
      </w:r>
    </w:p>
    <w:p>
      <w:pPr>
        <w:pStyle w:val="BlockText"/>
      </w:pPr>
      <w:r>
        <w:rPr>
          <w:b/>
          <w:bCs/>
        </w:rPr>
        <w:t xml:space="preserve">Verificar con el equipo</w:t>
      </w:r>
      <w:r>
        <w:t xml:space="preserve"> </w:t>
      </w:r>
      <w:r>
        <w:t xml:space="preserve">— qué articula internamente a esta Provincia más allá de la contigüidad —corredores viales, cuencas, relaciones funcionales— y cómo se enuncian los Hechos Provinciales en la versión preliminar del Plan. El dato territorial describe la forma, no la razón de ser del esquema asociativo.</w:t>
      </w:r>
    </w:p>
    <w:p>
      <w:pPr>
        <w:pStyle w:val="FirstParagraph"/>
      </w:pPr>
      <w:r>
        <w:rPr>
          <w:b/>
          <w:bCs/>
        </w:rPr>
        <w:t xml:space="preserve">Tabla 1.</w:t>
      </w:r>
      <w:r>
        <w:t xml:space="preserve"> </w:t>
      </w:r>
      <w:r>
        <w:t xml:space="preserve">Extensión territorial de los municipios de la Provincia Turística y Agroecológica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Área municipal (km²)</w:t>
            </w:r>
          </w:p>
        </w:tc>
        <w:tc>
          <w:tcPr/>
          <w:p>
            <w:pPr>
              <w:pStyle w:val="Compact"/>
            </w:pPr>
            <w:r>
              <w:t xml:space="preserve">Participación en el área provincial</w:t>
            </w:r>
          </w:p>
        </w:tc>
      </w:tr>
      <w:tr>
        <w:tc>
          <w:tcPr/>
          <w:p>
            <w:pPr>
              <w:pStyle w:val="Compact"/>
            </w:pPr>
            <w:r>
              <w:t xml:space="preserve">Buriticá</w:t>
            </w:r>
          </w:p>
        </w:tc>
        <w:tc>
          <w:tcPr/>
          <w:p>
            <w:pPr>
              <w:pStyle w:val="Compact"/>
            </w:pPr>
            <w:r>
              <w:t xml:space="preserve">355,21</w:t>
            </w:r>
          </w:p>
        </w:tc>
        <w:tc>
          <w:tcPr/>
          <w:p>
            <w:pPr>
              <w:pStyle w:val="Compact"/>
            </w:pPr>
            <w:r>
              <w:t xml:space="preserve">27,0 %</w:t>
            </w:r>
          </w:p>
        </w:tc>
      </w:tr>
      <w:tr>
        <w:tc>
          <w:tcPr/>
          <w:p>
            <w:pPr>
              <w:pStyle w:val="Compact"/>
            </w:pPr>
            <w:r>
              <w:t xml:space="preserve">Sabanalarga</w:t>
            </w:r>
          </w:p>
        </w:tc>
        <w:tc>
          <w:tcPr/>
          <w:p>
            <w:pPr>
              <w:pStyle w:val="Compact"/>
            </w:pPr>
            <w:r>
              <w:t xml:space="preserve">265,76</w:t>
            </w:r>
          </w:p>
        </w:tc>
        <w:tc>
          <w:tcPr/>
          <w:p>
            <w:pPr>
              <w:pStyle w:val="Compact"/>
            </w:pPr>
            <w:r>
              <w:t xml:space="preserve">20,2 %</w:t>
            </w:r>
          </w:p>
        </w:tc>
      </w:tr>
      <w:tr>
        <w:tc>
          <w:tcPr/>
          <w:p>
            <w:pPr>
              <w:pStyle w:val="Compact"/>
            </w:pPr>
            <w:r>
              <w:t xml:space="preserve">Ebéjico</w:t>
            </w:r>
          </w:p>
        </w:tc>
        <w:tc>
          <w:tcPr/>
          <w:p>
            <w:pPr>
              <w:pStyle w:val="Compact"/>
            </w:pPr>
            <w:r>
              <w:t xml:space="preserve">237,78</w:t>
            </w:r>
          </w:p>
        </w:tc>
        <w:tc>
          <w:tcPr/>
          <w:p>
            <w:pPr>
              <w:pStyle w:val="Compact"/>
            </w:pPr>
            <w:r>
              <w:t xml:space="preserve">18,1 %</w:t>
            </w:r>
          </w:p>
        </w:tc>
      </w:tr>
      <w:tr>
        <w:tc>
          <w:tcPr/>
          <w:p>
            <w:pPr>
              <w:pStyle w:val="Compact"/>
            </w:pPr>
            <w:r>
              <w:t xml:space="preserve">San Jerónimo</w:t>
            </w:r>
          </w:p>
        </w:tc>
        <w:tc>
          <w:tcPr/>
          <w:p>
            <w:pPr>
              <w:pStyle w:val="Compact"/>
            </w:pPr>
            <w:r>
              <w:t xml:space="preserve">161,27</w:t>
            </w:r>
          </w:p>
        </w:tc>
        <w:tc>
          <w:tcPr/>
          <w:p>
            <w:pPr>
              <w:pStyle w:val="Compact"/>
            </w:pPr>
            <w:r>
              <w:t xml:space="preserve">12,3 %</w:t>
            </w:r>
          </w:p>
        </w:tc>
      </w:tr>
      <w:tr>
        <w:tc>
          <w:tcPr/>
          <w:p>
            <w:pPr>
              <w:pStyle w:val="Compact"/>
            </w:pPr>
            <w:r>
              <w:t xml:space="preserve">Heliconia</w:t>
            </w:r>
          </w:p>
        </w:tc>
        <w:tc>
          <w:tcPr/>
          <w:p>
            <w:pPr>
              <w:pStyle w:val="Compact"/>
            </w:pPr>
            <w:r>
              <w:t xml:space="preserve">114,85</w:t>
            </w:r>
          </w:p>
        </w:tc>
        <w:tc>
          <w:tcPr/>
          <w:p>
            <w:pPr>
              <w:pStyle w:val="Compact"/>
            </w:pPr>
            <w:r>
              <w:t xml:space="preserve">8,7 %</w:t>
            </w:r>
          </w:p>
        </w:tc>
      </w:tr>
      <w:tr>
        <w:tc>
          <w:tcPr/>
          <w:p>
            <w:pPr>
              <w:pStyle w:val="Compact"/>
            </w:pPr>
            <w:r>
              <w:t xml:space="preserve">Giraldo</w:t>
            </w:r>
          </w:p>
        </w:tc>
        <w:tc>
          <w:tcPr/>
          <w:p>
            <w:pPr>
              <w:pStyle w:val="Compact"/>
            </w:pPr>
            <w:r>
              <w:t xml:space="preserve">93,49</w:t>
            </w:r>
          </w:p>
        </w:tc>
        <w:tc>
          <w:tcPr/>
          <w:p>
            <w:pPr>
              <w:pStyle w:val="Compact"/>
            </w:pPr>
            <w:r>
              <w:t xml:space="preserve">7,1 %</w:t>
            </w:r>
          </w:p>
        </w:tc>
      </w:tr>
      <w:tr>
        <w:tc>
          <w:tcPr/>
          <w:p>
            <w:pPr>
              <w:pStyle w:val="Compact"/>
            </w:pPr>
            <w:r>
              <w:t xml:space="preserve">Olaya</w:t>
            </w:r>
          </w:p>
        </w:tc>
        <w:tc>
          <w:tcPr/>
          <w:p>
            <w:pPr>
              <w:pStyle w:val="Compact"/>
            </w:pPr>
            <w:r>
              <w:t xml:space="preserve">86,99</w:t>
            </w:r>
          </w:p>
        </w:tc>
        <w:tc>
          <w:tcPr/>
          <w:p>
            <w:pPr>
              <w:pStyle w:val="Compact"/>
            </w:pPr>
            <w:r>
              <w:t xml:space="preserve">6,6 %</w:t>
            </w:r>
          </w:p>
        </w:tc>
      </w:tr>
      <w:tr>
        <w:tc>
          <w:tcPr/>
          <w:p>
            <w:pPr>
              <w:pStyle w:val="Compact"/>
            </w:pPr>
            <w:r>
              <w:t xml:space="preserve">TOTAL PROVINCIA TURÍSTICA Y AGROECOLÓGICA</w:t>
            </w:r>
          </w:p>
        </w:tc>
        <w:tc>
          <w:tcPr/>
          <w:p>
            <w:pPr>
              <w:pStyle w:val="Compact"/>
            </w:pPr>
            <w:r>
              <w:t xml:space="preserve">1.315,35</w:t>
            </w:r>
          </w:p>
        </w:tc>
        <w:tc>
          <w:tcPr/>
          <w:p>
            <w:pPr>
              <w:pStyle w:val="Compact"/>
            </w:pPr>
            <w:r>
              <w:t xml:space="preserve">100,0 %</w:t>
            </w:r>
          </w:p>
        </w:tc>
      </w:tr>
      <w:tr>
        <w:tc>
          <w:tcPr/>
          <w:p>
            <w:pPr>
              <w:pStyle w:val="Compact"/>
            </w:pPr>
            <w:r>
              <w:t xml:space="preserve">TOTAL SUBREGIÓN OCCIDENTE</w:t>
            </w:r>
          </w:p>
        </w:tc>
        <w:tc>
          <w:tcPr/>
          <w:p>
            <w:pPr>
              <w:pStyle w:val="Compact"/>
            </w:pPr>
            <w:r>
              <w:t xml:space="preserve">7.546,11</w:t>
            </w:r>
          </w:p>
        </w:tc>
        <w:tc>
          <w:tcPr/>
          <w:p>
            <w:pPr>
              <w:pStyle w:val="Compact"/>
            </w:pPr>
            <w:r>
              <w:t xml:space="preserve">—</w:t>
            </w:r>
          </w:p>
        </w:tc>
      </w:tr>
      <w:tr>
        <w:tc>
          <w:tcPr/>
          <w:p>
            <w:pPr>
              <w:pStyle w:val="Compact"/>
            </w:pPr>
            <w:r>
              <w:t xml:space="preserve">TOTAL DEPARTAMENTO (ANTIOQUIA)</w:t>
            </w:r>
          </w:p>
        </w:tc>
        <w:tc>
          <w:tcPr/>
          <w:p>
            <w:pPr>
              <w:pStyle w:val="Compact"/>
            </w:pPr>
            <w:r>
              <w:t xml:space="preserve">62.804,71</w:t>
            </w:r>
          </w:p>
        </w:tc>
        <w:tc>
          <w:tcPr/>
          <w:p>
            <w:pPr>
              <w:pStyle w:val="Compact"/>
            </w:pPr>
            <w:r>
              <w:t xml:space="preserve">—</w:t>
            </w:r>
          </w:p>
        </w:tc>
      </w:tr>
    </w:tbl>
    <w:p>
      <w:pPr>
        <w:pStyle w:val="BodyText"/>
      </w:pPr>
      <w:r>
        <w:rPr>
          <w:i/>
          <w:iCs/>
        </w:rPr>
        <w:t xml:space="preserve">Fuente: Gobernación de Antioquia, Anuario Estadístico. Cálculos propios.</w:t>
      </w:r>
    </w:p>
    <w:p>
      <w:pPr>
        <w:pStyle w:val="CaptionedFigure"/>
      </w:pPr>
      <w:r>
        <w:drawing>
          <wp:inline>
            <wp:extent cx="5600700" cy="3851407"/>
            <wp:effectExtent b="0" l="0" r="0" t="0"/>
            <wp:docPr descr="1. Localización" title="" id="10" name="Picture"/>
            <a:graphic>
              <a:graphicData uri="http://schemas.openxmlformats.org/drawingml/2006/picture">
                <pic:pic>
                  <pic:nvPicPr>
                    <pic:cNvPr descr="D:/LAURA/Trabajo/EAFIT/Proyectos/Provincias/git/Proyecto-Provincias-nuevo/03_Outputs/Turistica_Agroecologica/01_Generalidades/figuras/mapa_00_localizacion.png" id="11" name="Picture"/>
                    <pic:cNvPicPr>
                      <a:picLocks noChangeArrowheads="1" noChangeAspect="1"/>
                    </pic:cNvPicPr>
                  </pic:nvPicPr>
                  <pic:blipFill>
                    <a:blip r:embed="rId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 Localización</w:t>
      </w:r>
    </w:p>
    <w:p>
      <w:pPr>
        <w:pStyle w:val="CaptionedFigure"/>
      </w:pPr>
      <w:r>
        <w:drawing>
          <wp:inline>
            <wp:extent cx="5600700" cy="3851407"/>
            <wp:effectExtent b="0" l="0" r="0" t="0"/>
            <wp:docPr descr="2. Área" title="" id="13" name="Picture"/>
            <a:graphic>
              <a:graphicData uri="http://schemas.openxmlformats.org/drawingml/2006/picture">
                <pic:pic>
                  <pic:nvPicPr>
                    <pic:cNvPr descr="D:/LAURA/Trabajo/EAFIT/Proyectos/Provincias/git/Proyecto-Provincias-nuevo/03_Outputs/Turistica_Agroecologica/01_Generalidades/figuras/mapa_01_area.png" id="14" name="Picture"/>
                    <pic:cNvPicPr>
                      <a:picLocks noChangeArrowheads="1" noChangeAspect="1"/>
                    </pic:cNvPicPr>
                  </pic:nvPicPr>
                  <pic:blipFill>
                    <a:blip r:embed="rId12"/>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2. Área</w:t>
      </w:r>
    </w:p>
    <w:p>
      <w:pPr>
        <w:pStyle w:val="CaptionedFigure"/>
      </w:pPr>
      <w:r>
        <w:drawing>
          <wp:inline>
            <wp:extent cx="5600700" cy="2748464"/>
            <wp:effectExtent b="0" l="0" r="0" t="0"/>
            <wp:docPr descr="3. Distribución territorial" title="" id="16" name="Picture"/>
            <a:graphic>
              <a:graphicData uri="http://schemas.openxmlformats.org/drawingml/2006/picture">
                <pic:pic>
                  <pic:nvPicPr>
                    <pic:cNvPr descr="D:/LAURA/Trabajo/EAFIT/Proyectos/Provincias/git/Proyecto-Provincias-nuevo/03_Outputs/Turistica_Agroecologica/01_Generalidades/figuras/fig_01_distribucion_territorial.png" id="17" name="Picture"/>
                    <pic:cNvPicPr>
                      <a:picLocks noChangeArrowheads="1" noChangeAspect="1"/>
                    </pic:cNvPicPr>
                  </pic:nvPicPr>
                  <pic:blipFill>
                    <a:blip r:embed="rId15"/>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 Distribución territorial</w:t>
      </w:r>
    </w:p>
    <w:bookmarkEnd w:id="18"/>
    <w:bookmarkStart w:id="37" w:name="demografía"/>
    <w:p>
      <w:pPr>
        <w:pStyle w:val="Heading3"/>
      </w:pPr>
      <w:r>
        <w:t xml:space="preserve">Demografía</w:t>
      </w:r>
    </w:p>
    <w:p>
      <w:pPr>
        <w:pStyle w:val="FirstParagraph"/>
      </w:pPr>
      <w:r>
        <w:t xml:space="preserve">La Provincia Turística y Agroecológica reúne una población proyectada de 66.792 habitantes para 2025, repartida de forma desigual entre sus 7 municipios. La distribución está concentrada: San Jerónimo y Ebéjico concentran el 46 % del total provincial, mientras que Olaya (3.469 hab.), Heliconia (5.038 hab.) y Giraldo (6.404 hab.) registran los menores tamaños. Solo 4 de los 7 municipios superan el promedio provincial de 9.542 habitantes, lo que indica que la media no describe al municipio típico de la Provincia.</w:t>
      </w:r>
    </w:p>
    <w:p>
      <w:pPr>
        <w:pStyle w:val="BodyText"/>
      </w:pPr>
      <w:r>
        <w:t xml:space="preserve">En su composición, la Provincia es predominantemente rural: el 66,0 % de sus habitantes reside en centros poblados y rural disperso. Esa proporción condiciona todo lo que viene después en este diagnóstico —el costo de la cobertura educativa y de salud, la dependencia de la red terciaria, la informalidad laboral— y es el rasgo que más distingue a un territorio como este de la lógica urbana con que suelen diseñarse los instrumentos de planificación.</w:t>
      </w:r>
    </w:p>
    <w:p>
      <w:pPr>
        <w:pStyle w:val="BodyText"/>
      </w:pPr>
      <w:r>
        <w:t xml:space="preserve">La densidad poblacional confirma el patrón de ocupación. San Jerónimo (113,8) y Giraldo (68,5) registran las densidades más altas y Buriticá (31,0) y Sabanalarga (37,3) las más bajas, todas en habitantes por km². La razón entre el extremo alto y el bajo es de 3,7 a 1: dentro de una misma Provincia conviven realidades de poblamiento que exigen respuestas distintas. La densidad provincial en conjunto es de 50,8 hab/km². En el mapa, los 3 municipios con los valores más altos forman un patrón parcialmente contiguo.</w:t>
      </w:r>
    </w:p>
    <w:p>
      <w:pPr>
        <w:pStyle w:val="BodyText"/>
      </w:pPr>
      <w:r>
        <w:t xml:space="preserve">La estructura por edad da la medida de esa transición. Los menores de veinte años representan el 28,7 % de la población provincial y los mayores de sesenta el 19,1 %; el grupo más numeroso es el de 10 a 19. La razón de masculinidad es de 103,4 hombres por cada cien mujeres. Una pirámide con la base estrechándose y la cúspide ensanchándose anticipa, en el horizonte del Plan, menos demanda escolar y más demanda de servicios de salud y de cuidado.</w:t>
      </w:r>
    </w:p>
    <w:p>
      <w:pPr>
        <w:pStyle w:val="BodyText"/>
      </w:pPr>
      <w:r>
        <w:t xml:space="preserve">El Índice de Dependencia Económica resume las dos puntas de la pirámide: cuántas personas en edades dependientes —menores de quince y mayores de sesenta y cuatro— hay por cada cien en edad de trabajar. En la Provincia es de 54,5, y alcanza sus valores más altos en Sabanalarga (61,5) y Olaya (61,4), por encima del departamento (44,7), con una diferencia de 22 %. Es la cifra que traduce la estructura demográfica en carga efectiva sobre la población productiva.</w:t>
      </w:r>
    </w:p>
    <w:p>
      <w:pPr>
        <w:pStyle w:val="BodyText"/>
      </w:pPr>
      <w:r>
        <w:t xml:space="preserve">La dinámica vital muestra una Provincia que envejece. Ebéjico (43,0), Heliconia (40,4) y Olaya (37,9) presentan los índices de envejecimiento más altos —adultos mayores por cada cien menores de quince años—. La Provincia registra un índice de 32,8, por encima de la subregión (30,2), con una diferencia de 8 %, y en un nivel prácticamente igual al del departamento (32,1).</w:t>
      </w:r>
    </w:p>
    <w:p>
      <w:pPr>
        <w:pStyle w:val="BodyText"/>
      </w:pPr>
      <w:r>
        <w:t xml:space="preserve">La natalidad, de 7,27 nacimientos por cada mil habitantes, se sitúa por debajo del departamento (8,64), con una diferencia de 16 %. Un territorio que envejece y con natalidad contenida tiene una ventana de planificación distinta: la presión se desplaza de la infraestructura educativa hacia los servicios de salud y cuidado, y el relevo generacional de la actividad productiva rural deja de estar garantizado.</w:t>
      </w:r>
    </w:p>
    <w:p>
      <w:pPr>
        <w:pStyle w:val="BodyText"/>
      </w:pPr>
      <w:r>
        <w:t xml:space="preserve">La tasa neta de migración de la ECV 2023 va de 0,00 a 3,87 entre los municipios de la Provincia, con los valores más altos en Olaya (3,87) y San Jerónimo (3,61). Conviene notar que en esta fuente el indicador no toma valores negativos en ningún municipio: no puede leerse, por tanto, como un saldo entre quienes llegan y quienes se van, y no sostiene por sí solo una afirmación sobre expulsión de población.</w:t>
      </w:r>
    </w:p>
    <w:p>
      <w:pPr>
        <w:pStyle w:val="BlockText"/>
      </w:pPr>
      <w:r>
        <w:rPr>
          <w:b/>
          <w:bCs/>
        </w:rPr>
        <w:t xml:space="preserve">Verificar con el equipo</w:t>
      </w:r>
      <w:r>
        <w:t xml:space="preserve"> </w:t>
      </w:r>
      <w:r>
        <w:t xml:space="preserve">— la definición exacta de la «tasa neta de migración» en la ECV 2023 —si mide inmigración, emigración o saldo— y, con ella, hacia dónde se dirige la población que sale de la Provincia.</w:t>
      </w:r>
    </w:p>
    <w:p>
      <w:pPr>
        <w:pStyle w:val="FirstParagraph"/>
      </w:pPr>
      <w:r>
        <w:rPr>
          <w:b/>
          <w:bCs/>
        </w:rPr>
        <w:t xml:space="preserve">Tabla 2.</w:t>
      </w:r>
      <w:r>
        <w:t xml:space="preserve"> </w:t>
      </w:r>
      <w:r>
        <w:t xml:space="preserve">Proyecciones de población 2025 en la Provincia Turística y Agroecológica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Población total</w:t>
            </w:r>
          </w:p>
        </w:tc>
        <w:tc>
          <w:tcPr/>
          <w:p>
            <w:pPr>
              <w:pStyle w:val="Compact"/>
            </w:pPr>
            <w:r>
              <w:t xml:space="preserve">Población urbana</w:t>
            </w:r>
          </w:p>
        </w:tc>
        <w:tc>
          <w:tcPr/>
          <w:p>
            <w:pPr>
              <w:pStyle w:val="Compact"/>
            </w:pPr>
            <w:r>
              <w:t xml:space="preserve">Población rural</w:t>
            </w:r>
          </w:p>
        </w:tc>
        <w:tc>
          <w:tcPr/>
          <w:p>
            <w:pPr>
              <w:pStyle w:val="Compact"/>
            </w:pPr>
            <w:r>
              <w:t xml:space="preserve">Densidad poblacional (hab/km²)</w:t>
            </w:r>
          </w:p>
        </w:tc>
      </w:tr>
      <w:tr>
        <w:tc>
          <w:tcPr/>
          <w:p>
            <w:pPr>
              <w:pStyle w:val="Compact"/>
            </w:pPr>
            <w:r>
              <w:t xml:space="preserve">Buriticá</w:t>
            </w:r>
          </w:p>
        </w:tc>
        <w:tc>
          <w:tcPr/>
          <w:p>
            <w:pPr>
              <w:pStyle w:val="Compact"/>
            </w:pPr>
            <w:r>
              <w:t xml:space="preserve">11.015</w:t>
            </w:r>
          </w:p>
        </w:tc>
        <w:tc>
          <w:tcPr/>
          <w:p>
            <w:pPr>
              <w:pStyle w:val="Compact"/>
            </w:pPr>
            <w:r>
              <w:t xml:space="preserve">2.928</w:t>
            </w:r>
          </w:p>
        </w:tc>
        <w:tc>
          <w:tcPr/>
          <w:p>
            <w:pPr>
              <w:pStyle w:val="Compact"/>
            </w:pPr>
            <w:r>
              <w:t xml:space="preserve">8.087</w:t>
            </w:r>
          </w:p>
        </w:tc>
        <w:tc>
          <w:tcPr/>
          <w:p>
            <w:pPr>
              <w:pStyle w:val="Compact"/>
            </w:pPr>
            <w:r>
              <w:t xml:space="preserve">31,01</w:t>
            </w:r>
          </w:p>
        </w:tc>
      </w:tr>
      <w:tr>
        <w:tc>
          <w:tcPr/>
          <w:p>
            <w:pPr>
              <w:pStyle w:val="Compact"/>
            </w:pPr>
            <w:r>
              <w:t xml:space="preserve">Ebéjico</w:t>
            </w:r>
          </w:p>
        </w:tc>
        <w:tc>
          <w:tcPr/>
          <w:p>
            <w:pPr>
              <w:pStyle w:val="Compact"/>
            </w:pPr>
            <w:r>
              <w:t xml:space="preserve">12.612</w:t>
            </w:r>
          </w:p>
        </w:tc>
        <w:tc>
          <w:tcPr/>
          <w:p>
            <w:pPr>
              <w:pStyle w:val="Compact"/>
            </w:pPr>
            <w:r>
              <w:t xml:space="preserve">2.709</w:t>
            </w:r>
          </w:p>
        </w:tc>
        <w:tc>
          <w:tcPr/>
          <w:p>
            <w:pPr>
              <w:pStyle w:val="Compact"/>
            </w:pPr>
            <w:r>
              <w:t xml:space="preserve">9.903</w:t>
            </w:r>
          </w:p>
        </w:tc>
        <w:tc>
          <w:tcPr/>
          <w:p>
            <w:pPr>
              <w:pStyle w:val="Compact"/>
            </w:pPr>
            <w:r>
              <w:t xml:space="preserve">53,04</w:t>
            </w:r>
          </w:p>
        </w:tc>
      </w:tr>
      <w:tr>
        <w:tc>
          <w:tcPr/>
          <w:p>
            <w:pPr>
              <w:pStyle w:val="Compact"/>
            </w:pPr>
            <w:r>
              <w:t xml:space="preserve">Giraldo</w:t>
            </w:r>
          </w:p>
        </w:tc>
        <w:tc>
          <w:tcPr/>
          <w:p>
            <w:pPr>
              <w:pStyle w:val="Compact"/>
            </w:pPr>
            <w:r>
              <w:t xml:space="preserve">6.404</w:t>
            </w:r>
          </w:p>
        </w:tc>
        <w:tc>
          <w:tcPr/>
          <w:p>
            <w:pPr>
              <w:pStyle w:val="Compact"/>
            </w:pPr>
            <w:r>
              <w:t xml:space="preserve">2.533</w:t>
            </w:r>
          </w:p>
        </w:tc>
        <w:tc>
          <w:tcPr/>
          <w:p>
            <w:pPr>
              <w:pStyle w:val="Compact"/>
            </w:pPr>
            <w:r>
              <w:t xml:space="preserve">3.871</w:t>
            </w:r>
          </w:p>
        </w:tc>
        <w:tc>
          <w:tcPr/>
          <w:p>
            <w:pPr>
              <w:pStyle w:val="Compact"/>
            </w:pPr>
            <w:r>
              <w:t xml:space="preserve">68,50</w:t>
            </w:r>
          </w:p>
        </w:tc>
      </w:tr>
      <w:tr>
        <w:tc>
          <w:tcPr/>
          <w:p>
            <w:pPr>
              <w:pStyle w:val="Compact"/>
            </w:pPr>
            <w:r>
              <w:t xml:space="preserve">Heliconia</w:t>
            </w:r>
          </w:p>
        </w:tc>
        <w:tc>
          <w:tcPr/>
          <w:p>
            <w:pPr>
              <w:pStyle w:val="Compact"/>
            </w:pPr>
            <w:r>
              <w:t xml:space="preserve">5.038</w:t>
            </w:r>
          </w:p>
        </w:tc>
        <w:tc>
          <w:tcPr/>
          <w:p>
            <w:pPr>
              <w:pStyle w:val="Compact"/>
            </w:pPr>
            <w:r>
              <w:t xml:space="preserve">2.289</w:t>
            </w:r>
          </w:p>
        </w:tc>
        <w:tc>
          <w:tcPr/>
          <w:p>
            <w:pPr>
              <w:pStyle w:val="Compact"/>
            </w:pPr>
            <w:r>
              <w:t xml:space="preserve">2.749</w:t>
            </w:r>
          </w:p>
        </w:tc>
        <w:tc>
          <w:tcPr/>
          <w:p>
            <w:pPr>
              <w:pStyle w:val="Compact"/>
            </w:pPr>
            <w:r>
              <w:t xml:space="preserve">43,87</w:t>
            </w:r>
          </w:p>
        </w:tc>
      </w:tr>
      <w:tr>
        <w:tc>
          <w:tcPr/>
          <w:p>
            <w:pPr>
              <w:pStyle w:val="Compact"/>
            </w:pPr>
            <w:r>
              <w:t xml:space="preserve">Olaya</w:t>
            </w:r>
          </w:p>
        </w:tc>
        <w:tc>
          <w:tcPr/>
          <w:p>
            <w:pPr>
              <w:pStyle w:val="Compact"/>
            </w:pPr>
            <w:r>
              <w:t xml:space="preserve">3.469</w:t>
            </w:r>
          </w:p>
        </w:tc>
        <w:tc>
          <w:tcPr/>
          <w:p>
            <w:pPr>
              <w:pStyle w:val="Compact"/>
            </w:pPr>
            <w:r>
              <w:t xml:space="preserve">377</w:t>
            </w:r>
          </w:p>
        </w:tc>
        <w:tc>
          <w:tcPr/>
          <w:p>
            <w:pPr>
              <w:pStyle w:val="Compact"/>
            </w:pPr>
            <w:r>
              <w:t xml:space="preserve">3.092</w:t>
            </w:r>
          </w:p>
        </w:tc>
        <w:tc>
          <w:tcPr/>
          <w:p>
            <w:pPr>
              <w:pStyle w:val="Compact"/>
            </w:pPr>
            <w:r>
              <w:t xml:space="preserve">39,88</w:t>
            </w:r>
          </w:p>
        </w:tc>
      </w:tr>
      <w:tr>
        <w:tc>
          <w:tcPr/>
          <w:p>
            <w:pPr>
              <w:pStyle w:val="Compact"/>
            </w:pPr>
            <w:r>
              <w:t xml:space="preserve">Sabanalarga</w:t>
            </w:r>
          </w:p>
        </w:tc>
        <w:tc>
          <w:tcPr/>
          <w:p>
            <w:pPr>
              <w:pStyle w:val="Compact"/>
            </w:pPr>
            <w:r>
              <w:t xml:space="preserve">9.909</w:t>
            </w:r>
          </w:p>
        </w:tc>
        <w:tc>
          <w:tcPr/>
          <w:p>
            <w:pPr>
              <w:pStyle w:val="Compact"/>
            </w:pPr>
            <w:r>
              <w:t xml:space="preserve">3.524</w:t>
            </w:r>
          </w:p>
        </w:tc>
        <w:tc>
          <w:tcPr/>
          <w:p>
            <w:pPr>
              <w:pStyle w:val="Compact"/>
            </w:pPr>
            <w:r>
              <w:t xml:space="preserve">6.385</w:t>
            </w:r>
          </w:p>
        </w:tc>
        <w:tc>
          <w:tcPr/>
          <w:p>
            <w:pPr>
              <w:pStyle w:val="Compact"/>
            </w:pPr>
            <w:r>
              <w:t xml:space="preserve">37,28</w:t>
            </w:r>
          </w:p>
        </w:tc>
      </w:tr>
      <w:tr>
        <w:tc>
          <w:tcPr/>
          <w:p>
            <w:pPr>
              <w:pStyle w:val="Compact"/>
            </w:pPr>
            <w:r>
              <w:t xml:space="preserve">San Jerónimo</w:t>
            </w:r>
          </w:p>
        </w:tc>
        <w:tc>
          <w:tcPr/>
          <w:p>
            <w:pPr>
              <w:pStyle w:val="Compact"/>
            </w:pPr>
            <w:r>
              <w:t xml:space="preserve">18.345</w:t>
            </w:r>
          </w:p>
        </w:tc>
        <w:tc>
          <w:tcPr/>
          <w:p>
            <w:pPr>
              <w:pStyle w:val="Compact"/>
            </w:pPr>
            <w:r>
              <w:t xml:space="preserve">8.380</w:t>
            </w:r>
          </w:p>
        </w:tc>
        <w:tc>
          <w:tcPr/>
          <w:p>
            <w:pPr>
              <w:pStyle w:val="Compact"/>
            </w:pPr>
            <w:r>
              <w:t xml:space="preserve">9.965</w:t>
            </w:r>
          </w:p>
        </w:tc>
        <w:tc>
          <w:tcPr/>
          <w:p>
            <w:pPr>
              <w:pStyle w:val="Compact"/>
            </w:pPr>
            <w:r>
              <w:t xml:space="preserve">113,76</w:t>
            </w:r>
          </w:p>
        </w:tc>
      </w:tr>
      <w:tr>
        <w:tc>
          <w:tcPr/>
          <w:p>
            <w:pPr>
              <w:pStyle w:val="Compact"/>
            </w:pPr>
            <w:r>
              <w:t xml:space="preserve">TOTAL PROVINCIA TURÍSTICA Y AGROECOLÓGICA</w:t>
            </w:r>
          </w:p>
        </w:tc>
        <w:tc>
          <w:tcPr/>
          <w:p>
            <w:pPr>
              <w:pStyle w:val="Compact"/>
            </w:pPr>
            <w:r>
              <w:t xml:space="preserve">66.792</w:t>
            </w:r>
          </w:p>
        </w:tc>
        <w:tc>
          <w:tcPr/>
          <w:p>
            <w:pPr>
              <w:pStyle w:val="Compact"/>
            </w:pPr>
            <w:r>
              <w:t xml:space="preserve">22.740</w:t>
            </w:r>
          </w:p>
        </w:tc>
        <w:tc>
          <w:tcPr/>
          <w:p>
            <w:pPr>
              <w:pStyle w:val="Compact"/>
            </w:pPr>
            <w:r>
              <w:t xml:space="preserve">44.052</w:t>
            </w:r>
          </w:p>
        </w:tc>
        <w:tc>
          <w:tcPr/>
          <w:p>
            <w:pPr>
              <w:pStyle w:val="Compact"/>
            </w:pPr>
            <w:r>
              <w:t xml:space="preserve">50,78</w:t>
            </w:r>
          </w:p>
        </w:tc>
      </w:tr>
      <w:tr>
        <w:tc>
          <w:tcPr/>
          <w:p>
            <w:pPr>
              <w:pStyle w:val="Compact"/>
            </w:pPr>
            <w:r>
              <w:t xml:space="preserve">TOTAL SUBREGIÓN OCCIDENTE</w:t>
            </w:r>
          </w:p>
        </w:tc>
        <w:tc>
          <w:tcPr/>
          <w:p>
            <w:pPr>
              <w:pStyle w:val="Compact"/>
            </w:pPr>
            <w:r>
              <w:t xml:space="preserve">225.788</w:t>
            </w:r>
          </w:p>
        </w:tc>
        <w:tc>
          <w:tcPr/>
          <w:p>
            <w:pPr>
              <w:pStyle w:val="Compact"/>
            </w:pPr>
            <w:r>
              <w:t xml:space="preserve">88.348</w:t>
            </w:r>
          </w:p>
        </w:tc>
        <w:tc>
          <w:tcPr/>
          <w:p>
            <w:pPr>
              <w:pStyle w:val="Compact"/>
            </w:pPr>
            <w:r>
              <w:t xml:space="preserve">137.440</w:t>
            </w:r>
          </w:p>
        </w:tc>
        <w:tc>
          <w:tcPr/>
          <w:p>
            <w:pPr>
              <w:pStyle w:val="Compact"/>
            </w:pPr>
            <w:r>
              <w:t xml:space="preserve">29,92</w:t>
            </w:r>
          </w:p>
        </w:tc>
      </w:tr>
      <w:tr>
        <w:tc>
          <w:tcPr/>
          <w:p>
            <w:pPr>
              <w:pStyle w:val="Compact"/>
            </w:pPr>
            <w:r>
              <w:t xml:space="preserve">TOTAL DEPARTAMENTO (ANTIOQUIA)</w:t>
            </w:r>
          </w:p>
        </w:tc>
        <w:tc>
          <w:tcPr/>
          <w:p>
            <w:pPr>
              <w:pStyle w:val="Compact"/>
            </w:pPr>
            <w:r>
              <w:t xml:space="preserve">6.928.372</w:t>
            </w:r>
          </w:p>
        </w:tc>
        <w:tc>
          <w:tcPr/>
          <w:p>
            <w:pPr>
              <w:pStyle w:val="Compact"/>
            </w:pPr>
            <w:r>
              <w:t xml:space="preserve">5.450.720</w:t>
            </w:r>
          </w:p>
        </w:tc>
        <w:tc>
          <w:tcPr/>
          <w:p>
            <w:pPr>
              <w:pStyle w:val="Compact"/>
            </w:pPr>
            <w:r>
              <w:t xml:space="preserve">1.477.652</w:t>
            </w:r>
          </w:p>
        </w:tc>
        <w:tc>
          <w:tcPr/>
          <w:p>
            <w:pPr>
              <w:pStyle w:val="Compact"/>
            </w:pPr>
            <w:r>
              <w:t xml:space="preserve">110,32</w:t>
            </w:r>
          </w:p>
        </w:tc>
      </w:tr>
    </w:tbl>
    <w:p>
      <w:pPr>
        <w:pStyle w:val="BodyText"/>
      </w:pPr>
      <w:r>
        <w:rPr>
          <w:i/>
          <w:iCs/>
        </w:rPr>
        <w:t xml:space="preserve">Fuente: DANE, proyecciones de población 2018-2042. Cálculos propios.</w:t>
      </w:r>
    </w:p>
    <w:p>
      <w:pPr>
        <w:pStyle w:val="CaptionedFigure"/>
      </w:pPr>
      <w:r>
        <w:drawing>
          <wp:inline>
            <wp:extent cx="5600700" cy="3851407"/>
            <wp:effectExtent b="0" l="0" r="0" t="0"/>
            <wp:docPr descr="4. Densidad" title="" id="20" name="Picture"/>
            <a:graphic>
              <a:graphicData uri="http://schemas.openxmlformats.org/drawingml/2006/picture">
                <pic:pic>
                  <pic:nvPicPr>
                    <pic:cNvPr descr="D:/LAURA/Trabajo/EAFIT/Proyectos/Provincias/git/Proyecto-Provincias-nuevo/03_Outputs/Turistica_Agroecologica/02_Demografia/figuras/mapa_02_densidad.png" id="21" name="Picture"/>
                    <pic:cNvPicPr>
                      <a:picLocks noChangeArrowheads="1" noChangeAspect="1"/>
                    </pic:cNvPicPr>
                  </pic:nvPicPr>
                  <pic:blipFill>
                    <a:blip r:embed="rId1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4. Densidad</w:t>
      </w:r>
    </w:p>
    <w:p>
      <w:pPr>
        <w:pStyle w:val="CaptionedFigure"/>
      </w:pPr>
      <w:r>
        <w:drawing>
          <wp:inline>
            <wp:extent cx="5600700" cy="2748464"/>
            <wp:effectExtent b="0" l="0" r="0" t="0"/>
            <wp:docPr descr="5. Población municipio" title="" id="23" name="Picture"/>
            <a:graphic>
              <a:graphicData uri="http://schemas.openxmlformats.org/drawingml/2006/picture">
                <pic:pic>
                  <pic:nvPicPr>
                    <pic:cNvPr descr="D:/LAURA/Trabajo/EAFIT/Proyectos/Provincias/git/Proyecto-Provincias-nuevo/03_Outputs/Turistica_Agroecologica/02_Demografia/figuras/fig_01_poblacion_municipio.png" id="24" name="Picture"/>
                    <pic:cNvPicPr>
                      <a:picLocks noChangeArrowheads="1" noChangeAspect="1"/>
                    </pic:cNvPicPr>
                  </pic:nvPicPr>
                  <pic:blipFill>
                    <a:blip r:embed="rId22"/>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 Población municipio</w:t>
      </w:r>
    </w:p>
    <w:p>
      <w:pPr>
        <w:pStyle w:val="CaptionedFigure"/>
      </w:pPr>
      <w:r>
        <w:drawing>
          <wp:inline>
            <wp:extent cx="5600700" cy="2748464"/>
            <wp:effectExtent b="0" l="0" r="0" t="0"/>
            <wp:docPr descr="6. Composicion urbana rural" title="" id="26" name="Picture"/>
            <a:graphic>
              <a:graphicData uri="http://schemas.openxmlformats.org/drawingml/2006/picture">
                <pic:pic>
                  <pic:nvPicPr>
                    <pic:cNvPr descr="D:/LAURA/Trabajo/EAFIT/Proyectos/Provincias/git/Proyecto-Provincias-nuevo/03_Outputs/Turistica_Agroecologica/02_Demografia/figuras/fig_02_composicion_urbana_rural.png" id="27" name="Picture"/>
                    <pic:cNvPicPr>
                      <a:picLocks noChangeArrowheads="1" noChangeAspect="1"/>
                    </pic:cNvPicPr>
                  </pic:nvPicPr>
                  <pic:blipFill>
                    <a:blip r:embed="rId25"/>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 Composicion urbana rural</w:t>
      </w:r>
    </w:p>
    <w:p>
      <w:pPr>
        <w:pStyle w:val="CaptionedFigure"/>
      </w:pPr>
      <w:r>
        <w:drawing>
          <wp:inline>
            <wp:extent cx="5600700" cy="2748464"/>
            <wp:effectExtent b="0" l="0" r="0" t="0"/>
            <wp:docPr descr="7. Densidad poblacional" title="" id="29" name="Picture"/>
            <a:graphic>
              <a:graphicData uri="http://schemas.openxmlformats.org/drawingml/2006/picture">
                <pic:pic>
                  <pic:nvPicPr>
                    <pic:cNvPr descr="D:/LAURA/Trabajo/EAFIT/Proyectos/Provincias/git/Proyecto-Provincias-nuevo/03_Outputs/Turistica_Agroecologica/02_Demografia/figuras/fig_03_densidad_poblacional.png" id="30" name="Picture"/>
                    <pic:cNvPicPr>
                      <a:picLocks noChangeArrowheads="1" noChangeAspect="1"/>
                    </pic:cNvPicPr>
                  </pic:nvPicPr>
                  <pic:blipFill>
                    <a:blip r:embed="rId28"/>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7. Densidad poblacional</w:t>
      </w:r>
    </w:p>
    <w:p>
      <w:pPr>
        <w:pStyle w:val="CaptionedFigure"/>
      </w:pPr>
      <w:r>
        <w:drawing>
          <wp:inline>
            <wp:extent cx="5600700" cy="3851407"/>
            <wp:effectExtent b="0" l="0" r="0" t="0"/>
            <wp:docPr descr="8. Pirámide poblacional" title="" id="32" name="Picture"/>
            <a:graphic>
              <a:graphicData uri="http://schemas.openxmlformats.org/drawingml/2006/picture">
                <pic:pic>
                  <pic:nvPicPr>
                    <pic:cNvPr descr="D:/LAURA/Trabajo/EAFIT/Proyectos/Provincias/git/Proyecto-Provincias-nuevo/03_Outputs/Turistica_Agroecologica/02_Demografia/figuras/fig_04_piramide_poblacional.png" id="33" name="Picture"/>
                    <pic:cNvPicPr>
                      <a:picLocks noChangeArrowheads="1" noChangeAspect="1"/>
                    </pic:cNvPicPr>
                  </pic:nvPicPr>
                  <pic:blipFill>
                    <a:blip r:embed="rId3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8. Pirámide poblacional</w:t>
      </w:r>
    </w:p>
    <w:p>
      <w:pPr>
        <w:pStyle w:val="CaptionedFigure"/>
      </w:pPr>
      <w:r>
        <w:drawing>
          <wp:inline>
            <wp:extent cx="5600700" cy="2748464"/>
            <wp:effectExtent b="0" l="0" r="0" t="0"/>
            <wp:docPr descr="9. Indice envejecimiento" title="" id="35" name="Picture"/>
            <a:graphic>
              <a:graphicData uri="http://schemas.openxmlformats.org/drawingml/2006/picture">
                <pic:pic>
                  <pic:nvPicPr>
                    <pic:cNvPr descr="D:/LAURA/Trabajo/EAFIT/Proyectos/Provincias/git/Proyecto-Provincias-nuevo/03_Outputs/Turistica_Agroecologica/02_Demografia/figuras/fig_05_indice_envejecimiento.png" id="36" name="Picture"/>
                    <pic:cNvPicPr>
                      <a:picLocks noChangeArrowheads="1" noChangeAspect="1"/>
                    </pic:cNvPicPr>
                  </pic:nvPicPr>
                  <pic:blipFill>
                    <a:blip r:embed="rId34"/>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9. Indice envejecimiento</w:t>
      </w:r>
    </w:p>
    <w:bookmarkEnd w:id="37"/>
    <w:bookmarkStart w:id="87" w:name="ordenamiento-del-territorio"/>
    <w:p>
      <w:pPr>
        <w:pStyle w:val="Heading3"/>
      </w:pPr>
      <w:r>
        <w:t xml:space="preserve">Ordenamiento del Territorio</w:t>
      </w:r>
    </w:p>
    <w:p>
      <w:pPr>
        <w:pStyle w:val="FirstParagraph"/>
      </w:pPr>
      <w:r>
        <w:t xml:space="preserve">El ordenamiento del territorio reúne aquí cuatro asuntos que en la práctica se condicionan entre sí: los instrumentos con que cada municipio ordena su suelo, la conectividad que determina qué tan lejos queda cada cabecera del resto, las capacidades de ciencia y tecnología, y las condiciones de la vivienda y los servicios domiciliarios. En una Provincia predominantemente rural como Turística y Agroecológica, los cuatro se resuelven sobre el mismo obstáculo: la dispersión.</w:t>
      </w:r>
    </w:p>
    <w:bookmarkStart w:id="38" w:name="planes-de-ordenamiento-territorial"/>
    <w:p>
      <w:pPr>
        <w:pStyle w:val="Heading4"/>
      </w:pPr>
      <w:r>
        <w:t xml:space="preserve">Planes de Ordenamiento Territorial</w:t>
      </w:r>
    </w:p>
    <w:p>
      <w:pPr>
        <w:pStyle w:val="FirstParagraph"/>
      </w:pPr>
      <w:r>
        <w:t xml:space="preserve">El uso adecuado del suelo rural, medido por el POTA, alcanza sus valores más altos en Sabanalarga (35,6 %) y Olaya (31,0 %) y los más bajos en Ebéjico (25,9 %) y Giraldo (28,8 %). La diferencia mide cuánta de la actividad que hoy ocurre sobre el suelo corresponde a su vocación: donde el porcentaje es bajo, el conflicto de uso ya está instalado y el ordenamiento tiene que corregir, no solo orientar. La fuente no cubre 2 de los 7 municipios de la Provincia; esas celdas quedan vacías y no deben leerse como ceros.</w:t>
      </w:r>
    </w:p>
    <w:p>
      <w:pPr>
        <w:pStyle w:val="BodyText"/>
      </w:pPr>
      <w:r>
        <w:t xml:space="preserve">El catastro es la base sobre la que descansan el impuesto predial y cualquier política de suelo. En la Provincia, el avalúo rural representa en promedio el 52,4 % del avalúo catastral total de cada municipio, lo que confirma por la vía fiscal la ruralidad descrita en la sección demográfica. El estado más frecuente del catastro rural es «Rezagado», en 6 municipios.</w:t>
      </w:r>
    </w:p>
    <w:p>
      <w:pPr>
        <w:pStyle w:val="BlockText"/>
      </w:pPr>
      <w:r>
        <w:rPr>
          <w:b/>
          <w:bCs/>
        </w:rPr>
        <w:t xml:space="preserve">Verificar con el equipo</w:t>
      </w:r>
      <w:r>
        <w:t xml:space="preserve"> </w:t>
      </w:r>
      <w:r>
        <w:t xml:space="preserve">— el estado de adopción y vigencia de los POT, PBOT y EOT de cada municipio, que no está en las fuentes de este flujo y determina si el Plan puede apoyarse en los instrumentos existentes o debe promover su actualización. Conviene añadir la vigencia de la formación catastral: un avalúo desactualizado subestima el recaudo potencial.</w:t>
      </w:r>
    </w:p>
    <w:bookmarkEnd w:id="38"/>
    <w:bookmarkStart w:id="39" w:name="tránsito-y-trasporte"/>
    <w:p>
      <w:pPr>
        <w:pStyle w:val="Heading4"/>
      </w:pPr>
      <w:r>
        <w:t xml:space="preserve">Tránsito y trasporte</w:t>
      </w:r>
    </w:p>
    <w:p>
      <w:pPr>
        <w:pStyle w:val="FirstParagraph"/>
      </w:pPr>
      <w:r>
        <w:t xml:space="preserve">La red terciaria es la que conecta la producción rural con la cabecera y, por lo tanto, la que decide si la vocación agropecuaria de un municipio llega o no al mercado. Medida en kilómetros por km² de territorio, es mayor en Olaya (0,62) y Giraldo (0,46) y menor en San Jerónimo (0,30) y Buriticá (0,30), con una razón de 2,1 a 1 entre los extremos.</w:t>
      </w:r>
    </w:p>
    <w:p>
      <w:pPr>
        <w:pStyle w:val="BodyText"/>
      </w:pPr>
      <w:r>
        <w:t xml:space="preserve">Leída por habitante en vez de por área, la misma red cambia de orden: Olaya (16,47) y Buriticá (10,89) encabezan la Provincia. Las dos lecturas son necesarias. La primera dice cuánto territorio queda sin cubrir; la segunda, cuánta vía sostiene cada habitante, que es lo que pesa sobre la capacidad de mantenimiento del municipio.</w:t>
      </w:r>
    </w:p>
    <w:p>
      <w:pPr>
        <w:pStyle w:val="BlockText"/>
      </w:pPr>
      <w:r>
        <w:rPr>
          <w:b/>
          <w:bCs/>
        </w:rPr>
        <w:t xml:space="preserve">Verificar con el equipo</w:t>
      </w:r>
      <w:r>
        <w:t xml:space="preserve"> </w:t>
      </w:r>
      <w:r>
        <w:t xml:space="preserve">— el estado de la red —no solo su extensión— y qué corredores primarios y secundarios articulan la Provincia con el resto del departamento. Los kilómetros disponibles no dicen nada sobre su transitabilidad en invierno, que es lo que determina el aislamiento real.</w:t>
      </w:r>
    </w:p>
    <w:bookmarkEnd w:id="39"/>
    <w:bookmarkStart w:id="40" w:name="ciencia-tecnología-e-innovación"/>
    <w:p>
      <w:pPr>
        <w:pStyle w:val="Heading4"/>
      </w:pPr>
      <w:r>
        <w:t xml:space="preserve">Ciencia, Tecnología e Innovación</w:t>
      </w:r>
    </w:p>
    <w:p>
      <w:pPr>
        <w:pStyle w:val="FirstParagraph"/>
      </w:pPr>
      <w:r>
        <w:t xml:space="preserve">El acceso a internet fijo describe la brecha digital interna de la Provincia. Medido en líneas por cada mil habitantes, es mayor en Heliconia (604,8) y Ebéjico (589,0) y menor en Olaya (134,9) y Sabanalarga (174,6). La fibra óptica, que es la tecnología que sostiene un uso intensivo, representa en promedio el 14,9 % de las líneas de la Provincia.</w:t>
      </w:r>
    </w:p>
    <w:p>
      <w:pPr>
        <w:pStyle w:val="BodyText"/>
      </w:pPr>
      <w:r>
        <w:t xml:space="preserve">En capacidad institucional digital, el Índice de Gobierno Digital sitúa a San Jerónimo (77,8) y Olaya (54,8) en la parte alta de la Provincia. El promedio provincial ponderado por población es de 51,1 sobre 100, por debajo de la subregión (56,2), con una diferencia de 9 %. Conectividad y capacidad institucional se necesitan mutuamente: la primera sin la segunda deja el trámite en papel, y la segunda sin la primera no llega al ciudadano rural.</w:t>
      </w:r>
    </w:p>
    <w:p>
      <w:pPr>
        <w:pStyle w:val="BodyText"/>
      </w:pPr>
      <w:r>
        <w:t xml:space="preserve">El tránsito inmediato a la educación superior alcanza el 32,2 % en la Provincia. Es el indicador que cierra el círculo de esta subsección: sin acceso digital ni oferta cercana, la continuidad educativa depende de que el joven se desplace, y el desplazamiento es justamente lo que la dispersión encarece.</w:t>
      </w:r>
    </w:p>
    <w:p>
      <w:pPr>
        <w:pStyle w:val="BodyText"/>
      </w:pPr>
      <w:r>
        <w:t xml:space="preserve">El Índice Municipal de Competitividad de Antioquia sitúa a la Provincia en 31,1 sobre 100, encabezada por San Jerónimo (33,9) y Giraldo (33,0). La dimensión de innovación es 0 en todos los municipios de la Provincia; en el conjunto de Antioquia solo un puñado de municipios registra valor positivo, de modo que el cero describe la concentración del indicador antes que una carencia particular de este territorio.</w:t>
      </w:r>
    </w:p>
    <w:p>
      <w:pPr>
        <w:pStyle w:val="BlockText"/>
      </w:pPr>
      <w:r>
        <w:rPr>
          <w:b/>
          <w:bCs/>
        </w:rPr>
        <w:t xml:space="preserve">Verificar con el equipo</w:t>
      </w:r>
      <w:r>
        <w:t xml:space="preserve"> </w:t>
      </w:r>
      <w:r>
        <w:t xml:space="preserve">— qué oferta de educación superior y de formación técnica existe dentro de la Provincia o a distancia razonable, y si hay iniciativas de CTI en marcha con la Gobernación o con universidades.</w:t>
      </w:r>
    </w:p>
    <w:bookmarkEnd w:id="40"/>
    <w:bookmarkStart w:id="86" w:name="vivienda-y-servicios"/>
    <w:p>
      <w:pPr>
        <w:pStyle w:val="Heading4"/>
      </w:pPr>
      <w:r>
        <w:t xml:space="preserve">Vivienda y servicios</w:t>
      </w:r>
    </w:p>
    <w:p>
      <w:pPr>
        <w:pStyle w:val="FirstParagraph"/>
      </w:pPr>
      <w:r>
        <w:t xml:space="preserve">El déficit habitacional se mide en dos dimensiones que piden políticas distintas. El déficit</w:t>
      </w:r>
      <w:r>
        <w:t xml:space="preserve"> </w:t>
      </w:r>
      <w:r>
        <w:rPr>
          <w:b/>
          <w:bCs/>
        </w:rPr>
        <w:t xml:space="preserve">cuantitativo</w:t>
      </w:r>
      <w:r>
        <w:t xml:space="preserve"> </w:t>
      </w:r>
      <w:r>
        <w:t xml:space="preserve">—hogares sin vivienda o en una irrecuperable— afecta al 7,1 % de las viviendas de la Provincia y se concentra en San Jerónimo (12,6 %) y Olaya (12,2 %); se resuelve construyendo. El déficit</w:t>
      </w:r>
      <w:r>
        <w:t xml:space="preserve"> </w:t>
      </w:r>
      <w:r>
        <w:rPr>
          <w:b/>
          <w:bCs/>
        </w:rPr>
        <w:t xml:space="preserve">cualitativo</w:t>
      </w:r>
      <w:r>
        <w:t xml:space="preserve"> </w:t>
      </w:r>
      <w:r>
        <w:t xml:space="preserve">—vivienda mejorable en materiales, servicios o espacio— afecta al 23,3 % y es más alto en Buriticá (44,1 %), Giraldo (24,2 %) y San Jerónimo (21,8 %); se resuelve mejorando lo existente, que es una intervención más barata y de mayor alcance.</w:t>
      </w:r>
    </w:p>
    <w:p>
      <w:pPr>
        <w:pStyle w:val="BodyText"/>
      </w:pPr>
      <w:r>
        <w:t xml:space="preserve">Frente a su entorno, la Provincia está por encima del departamento (17,7 %), con una diferencia de 5,6 puntos porcentuales en déficit cualitativo. En el mapa, los 3 municipios con los valores más altos forman un patrón parcialmente contiguo.</w:t>
      </w:r>
    </w:p>
    <w:p>
      <w:pPr>
        <w:pStyle w:val="BodyText"/>
      </w:pPr>
      <w:r>
        <w:t xml:space="preserve">En servicios domiciliarios, el promedio municipal de la Provincia es de 84,5 % en acueducto, 71,5 % en alcantarillado y 98,7 % en energía. La distancia entre la cobertura de energía y la de alcantarillado es el indicador más elocuente de la ruralidad: la red eléctrica llegó, la de saneamiento no, y esa diferencia explica buena parte del déficit cualitativo descrito arriba.</w:t>
      </w:r>
    </w:p>
    <w:p>
      <w:pPr>
        <w:pStyle w:val="BlockText"/>
      </w:pPr>
      <w:r>
        <w:rPr>
          <w:b/>
          <w:bCs/>
        </w:rPr>
        <w:t xml:space="preserve">Verificar con el equipo</w:t>
      </w:r>
      <w:r>
        <w:t xml:space="preserve"> </w:t>
      </w:r>
      <w:r>
        <w:t xml:space="preserve">— si existen programas de mejoramiento de vivienda en curso en la Provincia y con qué cobertura, para dimensionar la brecha que el Plan tendría que cubrir.</w:t>
      </w:r>
    </w:p>
    <w:p>
      <w:pPr>
        <w:pStyle w:val="FirstParagraph"/>
      </w:pPr>
      <w:r>
        <w:rPr>
          <w:b/>
          <w:bCs/>
        </w:rPr>
        <w:t xml:space="preserve">Tabla 3.</w:t>
      </w:r>
      <w:r>
        <w:t xml:space="preserve"> </w:t>
      </w:r>
      <w:r>
        <w:t xml:space="preserve">Déficit cuantitativo y cualitativo de vivienda en la Provincia Turística y Agroecológica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Déficit cuantitativo de vivienda</w:t>
            </w:r>
          </w:p>
        </w:tc>
        <w:tc>
          <w:tcPr/>
          <w:p>
            <w:pPr>
              <w:pStyle w:val="Compact"/>
            </w:pPr>
            <w:r>
              <w:t xml:space="preserve">Déficit cualitativo de vivienda</w:t>
            </w:r>
          </w:p>
        </w:tc>
      </w:tr>
      <w:tr>
        <w:tc>
          <w:tcPr/>
          <w:p>
            <w:pPr>
              <w:pStyle w:val="Compact"/>
            </w:pPr>
            <w:r>
              <w:t xml:space="preserve">Buriticá</w:t>
            </w:r>
          </w:p>
        </w:tc>
        <w:tc>
          <w:tcPr/>
          <w:p>
            <w:pPr>
              <w:pStyle w:val="Compact"/>
            </w:pPr>
            <w:r>
              <w:t xml:space="preserve">4,3 %</w:t>
            </w:r>
          </w:p>
        </w:tc>
        <w:tc>
          <w:tcPr/>
          <w:p>
            <w:pPr>
              <w:pStyle w:val="Compact"/>
            </w:pPr>
            <w:r>
              <w:t xml:space="preserve">44,1 %</w:t>
            </w:r>
          </w:p>
        </w:tc>
      </w:tr>
      <w:tr>
        <w:tc>
          <w:tcPr/>
          <w:p>
            <w:pPr>
              <w:pStyle w:val="Compact"/>
            </w:pPr>
            <w:r>
              <w:t xml:space="preserve">Ebéjico</w:t>
            </w:r>
          </w:p>
        </w:tc>
        <w:tc>
          <w:tcPr/>
          <w:p>
            <w:pPr>
              <w:pStyle w:val="Compact"/>
            </w:pPr>
            <w:r>
              <w:t xml:space="preserve">1,1 %</w:t>
            </w:r>
          </w:p>
        </w:tc>
        <w:tc>
          <w:tcPr/>
          <w:p>
            <w:pPr>
              <w:pStyle w:val="Compact"/>
            </w:pPr>
            <w:r>
              <w:t xml:space="preserve">17,5 %</w:t>
            </w:r>
          </w:p>
        </w:tc>
      </w:tr>
      <w:tr>
        <w:tc>
          <w:tcPr/>
          <w:p>
            <w:pPr>
              <w:pStyle w:val="Compact"/>
            </w:pPr>
            <w:r>
              <w:t xml:space="preserve">Giraldo</w:t>
            </w:r>
          </w:p>
        </w:tc>
        <w:tc>
          <w:tcPr/>
          <w:p>
            <w:pPr>
              <w:pStyle w:val="Compact"/>
            </w:pPr>
            <w:r>
              <w:t xml:space="preserve">4,1 %</w:t>
            </w:r>
          </w:p>
        </w:tc>
        <w:tc>
          <w:tcPr/>
          <w:p>
            <w:pPr>
              <w:pStyle w:val="Compact"/>
            </w:pPr>
            <w:r>
              <w:t xml:space="preserve">24,2 %</w:t>
            </w:r>
          </w:p>
        </w:tc>
      </w:tr>
      <w:tr>
        <w:tc>
          <w:tcPr/>
          <w:p>
            <w:pPr>
              <w:pStyle w:val="Compact"/>
            </w:pPr>
            <w:r>
              <w:t xml:space="preserve">Heliconia</w:t>
            </w:r>
          </w:p>
        </w:tc>
        <w:tc>
          <w:tcPr/>
          <w:p>
            <w:pPr>
              <w:pStyle w:val="Compact"/>
            </w:pPr>
            <w:r>
              <w:t xml:space="preserve">2,4 %</w:t>
            </w:r>
          </w:p>
        </w:tc>
        <w:tc>
          <w:tcPr/>
          <w:p>
            <w:pPr>
              <w:pStyle w:val="Compact"/>
            </w:pPr>
            <w:r>
              <w:t xml:space="preserve">16,2 %</w:t>
            </w:r>
          </w:p>
        </w:tc>
      </w:tr>
      <w:tr>
        <w:tc>
          <w:tcPr/>
          <w:p>
            <w:pPr>
              <w:pStyle w:val="Compact"/>
            </w:pPr>
            <w:r>
              <w:t xml:space="preserve">Olaya</w:t>
            </w:r>
          </w:p>
        </w:tc>
        <w:tc>
          <w:tcPr/>
          <w:p>
            <w:pPr>
              <w:pStyle w:val="Compact"/>
            </w:pPr>
            <w:r>
              <w:t xml:space="preserve">12,2 %</w:t>
            </w:r>
          </w:p>
        </w:tc>
        <w:tc>
          <w:tcPr/>
          <w:p>
            <w:pPr>
              <w:pStyle w:val="Compact"/>
            </w:pPr>
            <w:r>
              <w:t xml:space="preserve">18,8 %</w:t>
            </w:r>
          </w:p>
        </w:tc>
      </w:tr>
      <w:tr>
        <w:tc>
          <w:tcPr/>
          <w:p>
            <w:pPr>
              <w:pStyle w:val="Compact"/>
            </w:pPr>
            <w:r>
              <w:t xml:space="preserve">Sabanalarga</w:t>
            </w:r>
          </w:p>
        </w:tc>
        <w:tc>
          <w:tcPr/>
          <w:p>
            <w:pPr>
              <w:pStyle w:val="Compact"/>
            </w:pPr>
            <w:r>
              <w:t xml:space="preserve">11,9 %</w:t>
            </w:r>
          </w:p>
        </w:tc>
        <w:tc>
          <w:tcPr/>
          <w:p>
            <w:pPr>
              <w:pStyle w:val="Compact"/>
            </w:pPr>
            <w:r>
              <w:t xml:space="preserve">20,6 %</w:t>
            </w:r>
          </w:p>
        </w:tc>
      </w:tr>
      <w:tr>
        <w:tc>
          <w:tcPr/>
          <w:p>
            <w:pPr>
              <w:pStyle w:val="Compact"/>
            </w:pPr>
            <w:r>
              <w:t xml:space="preserve">San Jerónimo</w:t>
            </w:r>
          </w:p>
        </w:tc>
        <w:tc>
          <w:tcPr/>
          <w:p>
            <w:pPr>
              <w:pStyle w:val="Compact"/>
            </w:pPr>
            <w:r>
              <w:t xml:space="preserve">12,6 %</w:t>
            </w:r>
          </w:p>
        </w:tc>
        <w:tc>
          <w:tcPr/>
          <w:p>
            <w:pPr>
              <w:pStyle w:val="Compact"/>
            </w:pPr>
            <w:r>
              <w:t xml:space="preserve">21,8 %</w:t>
            </w:r>
          </w:p>
        </w:tc>
      </w:tr>
      <w:tr>
        <w:tc>
          <w:tcPr/>
          <w:p>
            <w:pPr>
              <w:pStyle w:val="Compact"/>
            </w:pPr>
            <w:r>
              <w:t xml:space="preserve">PROVINCIA TURÍSTICA Y AGROECOLÓGICA (tasa agregada: Σ viviendas con déficit / Σ viviendas)</w:t>
            </w:r>
          </w:p>
        </w:tc>
        <w:tc>
          <w:tcPr/>
          <w:p>
            <w:pPr>
              <w:pStyle w:val="Compact"/>
            </w:pPr>
            <w:r>
              <w:t xml:space="preserve">7,1 %</w:t>
            </w:r>
          </w:p>
        </w:tc>
        <w:tc>
          <w:tcPr/>
          <w:p>
            <w:pPr>
              <w:pStyle w:val="Compact"/>
            </w:pPr>
            <w:r>
              <w:t xml:space="preserve">23,3 %</w:t>
            </w:r>
          </w:p>
        </w:tc>
      </w:tr>
      <w:tr>
        <w:tc>
          <w:tcPr/>
          <w:p>
            <w:pPr>
              <w:pStyle w:val="Compact"/>
            </w:pPr>
            <w:r>
              <w:t xml:space="preserve">SUBREGIÓN OCCIDENTE (tasa agregada)</w:t>
            </w:r>
          </w:p>
        </w:tc>
        <w:tc>
          <w:tcPr/>
          <w:p>
            <w:pPr>
              <w:pStyle w:val="Compact"/>
            </w:pPr>
            <w:r>
              <w:t xml:space="preserve">10,9 %</w:t>
            </w:r>
          </w:p>
        </w:tc>
        <w:tc>
          <w:tcPr/>
          <w:p>
            <w:pPr>
              <w:pStyle w:val="Compact"/>
            </w:pPr>
            <w:r>
              <w:t xml:space="preserve">26,4 %</w:t>
            </w:r>
          </w:p>
        </w:tc>
      </w:tr>
      <w:tr>
        <w:tc>
          <w:tcPr/>
          <w:p>
            <w:pPr>
              <w:pStyle w:val="Compact"/>
            </w:pPr>
            <w:r>
              <w:t xml:space="preserve">DEPARTAMENTO (ANTIOQUIA) (tasa agregada)</w:t>
            </w:r>
          </w:p>
        </w:tc>
        <w:tc>
          <w:tcPr/>
          <w:p>
            <w:pPr>
              <w:pStyle w:val="Compact"/>
            </w:pPr>
            <w:r>
              <w:t xml:space="preserve">5,8 %</w:t>
            </w:r>
          </w:p>
        </w:tc>
        <w:tc>
          <w:tcPr/>
          <w:p>
            <w:pPr>
              <w:pStyle w:val="Compact"/>
            </w:pPr>
            <w:r>
              <w:t xml:space="preserve">17,7 %</w:t>
            </w:r>
          </w:p>
        </w:tc>
      </w:tr>
    </w:tbl>
    <w:p>
      <w:pPr>
        <w:pStyle w:val="BodyText"/>
      </w:pPr>
      <w:r>
        <w:rPr>
          <w:i/>
          <w:iCs/>
        </w:rPr>
        <w:t xml:space="preserve">Fuente: DANE, déficit habitacional 2023. Cálculos propios.</w:t>
      </w:r>
    </w:p>
    <w:p>
      <w:pPr>
        <w:pStyle w:val="CaptionedFigure"/>
      </w:pPr>
      <w:r>
        <w:drawing>
          <wp:inline>
            <wp:extent cx="5600700" cy="3851407"/>
            <wp:effectExtent b="0" l="0" r="0" t="0"/>
            <wp:docPr descr="10. Déficit vivienda" title="" id="42" name="Picture"/>
            <a:graphic>
              <a:graphicData uri="http://schemas.openxmlformats.org/drawingml/2006/picture">
                <pic:pic>
                  <pic:nvPicPr>
                    <pic:cNvPr descr="D:/LAURA/Trabajo/EAFIT/Proyectos/Provincias/git/Proyecto-Provincias-nuevo/03_Outputs/Turistica_Agroecologica/03_Ordenamiento/figuras/mapa_03_deficit_vivienda.png" id="43" name="Picture"/>
                    <pic:cNvPicPr>
                      <a:picLocks noChangeArrowheads="1" noChangeAspect="1"/>
                    </pic:cNvPicPr>
                  </pic:nvPicPr>
                  <pic:blipFill>
                    <a:blip r:embed="rId4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10. Déficit vivienda</w:t>
      </w:r>
    </w:p>
    <w:p>
      <w:pPr>
        <w:pStyle w:val="CaptionedFigure"/>
      </w:pPr>
      <w:r>
        <w:drawing>
          <wp:inline>
            <wp:extent cx="5600700" cy="2363026"/>
            <wp:effectExtent b="0" l="0" r="0" t="0"/>
            <wp:docPr descr="11. Uso suelo rural" title="" id="45" name="Picture"/>
            <a:graphic>
              <a:graphicData uri="http://schemas.openxmlformats.org/drawingml/2006/picture">
                <pic:pic>
                  <pic:nvPicPr>
                    <pic:cNvPr descr="D:/LAURA/Trabajo/EAFIT/Proyectos/Provincias/git/Proyecto-Provincias-nuevo/03_Outputs/Turistica_Agroecologica/03_Ordenamiento/figuras/fig_01_uso_suelo_rural.png" id="46" name="Picture"/>
                    <pic:cNvPicPr>
                      <a:picLocks noChangeArrowheads="1" noChangeAspect="1"/>
                    </pic:cNvPicPr>
                  </pic:nvPicPr>
                  <pic:blipFill>
                    <a:blip r:embed="rId44"/>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11. Uso suelo rural</w:t>
      </w:r>
    </w:p>
    <w:p>
      <w:pPr>
        <w:pStyle w:val="CaptionedFigure"/>
      </w:pPr>
      <w:r>
        <w:drawing>
          <wp:inline>
            <wp:extent cx="5600700" cy="2748464"/>
            <wp:effectExtent b="0" l="0" r="0" t="0"/>
            <wp:docPr descr="12. Catastro avalúo rural" title="" id="48" name="Picture"/>
            <a:graphic>
              <a:graphicData uri="http://schemas.openxmlformats.org/drawingml/2006/picture">
                <pic:pic>
                  <pic:nvPicPr>
                    <pic:cNvPr descr="D:/LAURA/Trabajo/EAFIT/Proyectos/Provincias/git/Proyecto-Provincias-nuevo/03_Outputs/Turistica_Agroecologica/03_Ordenamiento/figuras/fig_02_catastro_avaluo_rural.png" id="49" name="Picture"/>
                    <pic:cNvPicPr>
                      <a:picLocks noChangeArrowheads="1" noChangeAspect="1"/>
                    </pic:cNvPicPr>
                  </pic:nvPicPr>
                  <pic:blipFill>
                    <a:blip r:embed="rId47"/>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12. Catastro avalúo rural</w:t>
      </w:r>
    </w:p>
    <w:p>
      <w:pPr>
        <w:pStyle w:val="CaptionedFigure"/>
      </w:pPr>
      <w:r>
        <w:drawing>
          <wp:inline>
            <wp:extent cx="5600700" cy="2941182"/>
            <wp:effectExtent b="0" l="0" r="0" t="0"/>
            <wp:docPr descr="13. Vías área" title="" id="51" name="Picture"/>
            <a:graphic>
              <a:graphicData uri="http://schemas.openxmlformats.org/drawingml/2006/picture">
                <pic:pic>
                  <pic:nvPicPr>
                    <pic:cNvPr descr="D:/LAURA/Trabajo/EAFIT/Proyectos/Provincias/git/Proyecto-Provincias-nuevo/03_Outputs/Turistica_Agroecologica/03_Ordenamiento/figuras/fig_03_vias_area.png" id="52" name="Picture"/>
                    <pic:cNvPicPr>
                      <a:picLocks noChangeArrowheads="1" noChangeAspect="1"/>
                    </pic:cNvPicPr>
                  </pic:nvPicPr>
                  <pic:blipFill>
                    <a:blip r:embed="rId50"/>
                    <a:stretch>
                      <a:fillRect/>
                    </a:stretch>
                  </pic:blipFill>
                  <pic:spPr bwMode="auto">
                    <a:xfrm>
                      <a:off x="0" y="0"/>
                      <a:ext cx="5600700" cy="2941182"/>
                    </a:xfrm>
                    <a:prstGeom prst="rect">
                      <a:avLst/>
                    </a:prstGeom>
                    <a:noFill/>
                    <a:ln w="9525">
                      <a:noFill/>
                      <a:headEnd/>
                      <a:tailEnd/>
                    </a:ln>
                  </pic:spPr>
                </pic:pic>
              </a:graphicData>
            </a:graphic>
          </wp:inline>
        </w:drawing>
      </w:r>
    </w:p>
    <w:p>
      <w:pPr>
        <w:pStyle w:val="ImageCaption"/>
      </w:pPr>
      <w:r>
        <w:t xml:space="preserve">13. Vías área</w:t>
      </w:r>
    </w:p>
    <w:p>
      <w:pPr>
        <w:pStyle w:val="CaptionedFigure"/>
      </w:pPr>
      <w:r>
        <w:drawing>
          <wp:inline>
            <wp:extent cx="5600700" cy="2941182"/>
            <wp:effectExtent b="0" l="0" r="0" t="0"/>
            <wp:docPr descr="14. Vías habitantes" title="" id="54" name="Picture"/>
            <a:graphic>
              <a:graphicData uri="http://schemas.openxmlformats.org/drawingml/2006/picture">
                <pic:pic>
                  <pic:nvPicPr>
                    <pic:cNvPr descr="D:/LAURA/Trabajo/EAFIT/Proyectos/Provincias/git/Proyecto-Provincias-nuevo/03_Outputs/Turistica_Agroecologica/03_Ordenamiento/figuras/fig_04_vias_habitantes.png" id="55" name="Picture"/>
                    <pic:cNvPicPr>
                      <a:picLocks noChangeArrowheads="1" noChangeAspect="1"/>
                    </pic:cNvPicPr>
                  </pic:nvPicPr>
                  <pic:blipFill>
                    <a:blip r:embed="rId53"/>
                    <a:stretch>
                      <a:fillRect/>
                    </a:stretch>
                  </pic:blipFill>
                  <pic:spPr bwMode="auto">
                    <a:xfrm>
                      <a:off x="0" y="0"/>
                      <a:ext cx="5600700" cy="2941182"/>
                    </a:xfrm>
                    <a:prstGeom prst="rect">
                      <a:avLst/>
                    </a:prstGeom>
                    <a:noFill/>
                    <a:ln w="9525">
                      <a:noFill/>
                      <a:headEnd/>
                      <a:tailEnd/>
                    </a:ln>
                  </pic:spPr>
                </pic:pic>
              </a:graphicData>
            </a:graphic>
          </wp:inline>
        </w:drawing>
      </w:r>
    </w:p>
    <w:p>
      <w:pPr>
        <w:pStyle w:val="ImageCaption"/>
      </w:pPr>
      <w:r>
        <w:t xml:space="preserve">14. Vías habitantes</w:t>
      </w:r>
    </w:p>
    <w:p>
      <w:pPr>
        <w:pStyle w:val="CaptionedFigure"/>
      </w:pPr>
      <w:r>
        <w:drawing>
          <wp:inline>
            <wp:extent cx="5600700" cy="2748464"/>
            <wp:effectExtent b="0" l="0" r="0" t="0"/>
            <wp:docPr descr="15. Déficit cuantitativo" title="" id="57" name="Picture"/>
            <a:graphic>
              <a:graphicData uri="http://schemas.openxmlformats.org/drawingml/2006/picture">
                <pic:pic>
                  <pic:nvPicPr>
                    <pic:cNvPr descr="D:/LAURA/Trabajo/EAFIT/Proyectos/Provincias/git/Proyecto-Provincias-nuevo/03_Outputs/Turistica_Agroecologica/03_Ordenamiento/figuras/fig_05_deficit_cuantitativo.png" id="58" name="Picture"/>
                    <pic:cNvPicPr>
                      <a:picLocks noChangeArrowheads="1" noChangeAspect="1"/>
                    </pic:cNvPicPr>
                  </pic:nvPicPr>
                  <pic:blipFill>
                    <a:blip r:embed="rId5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15. Déficit cuantitativo</w:t>
      </w:r>
    </w:p>
    <w:p>
      <w:pPr>
        <w:pStyle w:val="CaptionedFigure"/>
      </w:pPr>
      <w:r>
        <w:drawing>
          <wp:inline>
            <wp:extent cx="5600700" cy="2748464"/>
            <wp:effectExtent b="0" l="0" r="0" t="0"/>
            <wp:docPr descr="16. Déficit cualitativo" title="" id="60" name="Picture"/>
            <a:graphic>
              <a:graphicData uri="http://schemas.openxmlformats.org/drawingml/2006/picture">
                <pic:pic>
                  <pic:nvPicPr>
                    <pic:cNvPr descr="D:/LAURA/Trabajo/EAFIT/Proyectos/Provincias/git/Proyecto-Provincias-nuevo/03_Outputs/Turistica_Agroecologica/03_Ordenamiento/figuras/fig_06_deficit_cualitativo.png" id="61" name="Picture"/>
                    <pic:cNvPicPr>
                      <a:picLocks noChangeArrowheads="1" noChangeAspect="1"/>
                    </pic:cNvPicPr>
                  </pic:nvPicPr>
                  <pic:blipFill>
                    <a:blip r:embed="rId5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16. Déficit cualitativo</w:t>
      </w:r>
    </w:p>
    <w:p>
      <w:pPr>
        <w:pStyle w:val="CaptionedFigure"/>
      </w:pPr>
      <w:r>
        <w:drawing>
          <wp:inline>
            <wp:extent cx="5600700" cy="3901811"/>
            <wp:effectExtent b="0" l="0" r="0" t="0"/>
            <wp:docPr descr="17. Servicios públicos" title="" id="63" name="Picture"/>
            <a:graphic>
              <a:graphicData uri="http://schemas.openxmlformats.org/drawingml/2006/picture">
                <pic:pic>
                  <pic:nvPicPr>
                    <pic:cNvPr descr="D:/LAURA/Trabajo/EAFIT/Proyectos/Provincias/git/Proyecto-Provincias-nuevo/03_Outputs/Turistica_Agroecologica/03_Ordenamiento/figuras/fig_07_servicios_publicos.png" id="64" name="Picture"/>
                    <pic:cNvPicPr>
                      <a:picLocks noChangeArrowheads="1" noChangeAspect="1"/>
                    </pic:cNvPicPr>
                  </pic:nvPicPr>
                  <pic:blipFill>
                    <a:blip r:embed="rId6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17. Servicios públicos</w:t>
      </w:r>
    </w:p>
    <w:p>
      <w:pPr>
        <w:pStyle w:val="CaptionedFigure"/>
      </w:pPr>
      <w:r>
        <w:drawing>
          <wp:inline>
            <wp:extent cx="5600700" cy="5828997"/>
            <wp:effectExtent b="0" l="0" r="0" t="0"/>
            <wp:docPr descr="18. IMCA dimensiones" title="" id="66" name="Picture"/>
            <a:graphic>
              <a:graphicData uri="http://schemas.openxmlformats.org/drawingml/2006/picture">
                <pic:pic>
                  <pic:nvPicPr>
                    <pic:cNvPr descr="D:/LAURA/Trabajo/EAFIT/Proyectos/Provincias/git/Proyecto-Provincias-nuevo/03_Outputs/Turistica_Agroecologica/03_Ordenamiento/figuras/fig_08_imca_dimensiones.png" id="67" name="Picture"/>
                    <pic:cNvPicPr>
                      <a:picLocks noChangeArrowheads="1" noChangeAspect="1"/>
                    </pic:cNvPicPr>
                  </pic:nvPicPr>
                  <pic:blipFill>
                    <a:blip r:embed="rId65"/>
                    <a:stretch>
                      <a:fillRect/>
                    </a:stretch>
                  </pic:blipFill>
                  <pic:spPr bwMode="auto">
                    <a:xfrm>
                      <a:off x="0" y="0"/>
                      <a:ext cx="5600700" cy="5828997"/>
                    </a:xfrm>
                    <a:prstGeom prst="rect">
                      <a:avLst/>
                    </a:prstGeom>
                    <a:noFill/>
                    <a:ln w="9525">
                      <a:noFill/>
                      <a:headEnd/>
                      <a:tailEnd/>
                    </a:ln>
                  </pic:spPr>
                </pic:pic>
              </a:graphicData>
            </a:graphic>
          </wp:inline>
        </w:drawing>
      </w:r>
    </w:p>
    <w:p>
      <w:pPr>
        <w:pStyle w:val="ImageCaption"/>
      </w:pPr>
      <w:r>
        <w:t xml:space="preserve">18. IMCA dimensiones</w:t>
      </w:r>
    </w:p>
    <w:p>
      <w:pPr>
        <w:pStyle w:val="CaptionedFigure"/>
      </w:pPr>
      <w:r>
        <w:drawing>
          <wp:inline>
            <wp:extent cx="5600700" cy="2748464"/>
            <wp:effectExtent b="0" l="0" r="0" t="0"/>
            <wp:docPr descr="19. IMCA adopcion tic" title="" id="69" name="Picture"/>
            <a:graphic>
              <a:graphicData uri="http://schemas.openxmlformats.org/drawingml/2006/picture">
                <pic:pic>
                  <pic:nvPicPr>
                    <pic:cNvPr descr="D:/LAURA/Trabajo/EAFIT/Proyectos/Provincias/git/Proyecto-Provincias-nuevo/03_Outputs/Turistica_Agroecologica/03_Ordenamiento/figuras/fig_09_imca_adopcion_tic.png" id="70" name="Picture"/>
                    <pic:cNvPicPr>
                      <a:picLocks noChangeArrowheads="1" noChangeAspect="1"/>
                    </pic:cNvPicPr>
                  </pic:nvPicPr>
                  <pic:blipFill>
                    <a:blip r:embed="rId68"/>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19. IMCA adopcion tic</w:t>
      </w:r>
    </w:p>
    <w:p>
      <w:pPr>
        <w:pStyle w:val="CaptionedFigure"/>
      </w:pPr>
      <w:r>
        <w:drawing>
          <wp:inline>
            <wp:extent cx="5600700" cy="2748464"/>
            <wp:effectExtent b="0" l="0" r="0" t="0"/>
            <wp:docPr descr="20. Gobierno digital" title="" id="72" name="Picture"/>
            <a:graphic>
              <a:graphicData uri="http://schemas.openxmlformats.org/drawingml/2006/picture">
                <pic:pic>
                  <pic:nvPicPr>
                    <pic:cNvPr descr="D:/LAURA/Trabajo/EAFIT/Proyectos/Provincias/git/Proyecto-Provincias-nuevo/03_Outputs/Turistica_Agroecologica/03_Ordenamiento/figuras/fig_10_gobierno_digital.png" id="73" name="Picture"/>
                    <pic:cNvPicPr>
                      <a:picLocks noChangeArrowheads="1" noChangeAspect="1"/>
                    </pic:cNvPicPr>
                  </pic:nvPicPr>
                  <pic:blipFill>
                    <a:blip r:embed="rId71"/>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20. Gobierno digital</w:t>
      </w:r>
    </w:p>
    <w:p>
      <w:pPr>
        <w:pStyle w:val="CaptionedFigure"/>
      </w:pPr>
      <w:r>
        <w:drawing>
          <wp:inline>
            <wp:extent cx="5600700" cy="3519338"/>
            <wp:effectExtent b="0" l="0" r="0" t="0"/>
            <wp:docPr descr="21. Gobierno digital componentes" title="" id="75" name="Picture"/>
            <a:graphic>
              <a:graphicData uri="http://schemas.openxmlformats.org/drawingml/2006/picture">
                <pic:pic>
                  <pic:nvPicPr>
                    <pic:cNvPr descr="D:/LAURA/Trabajo/EAFIT/Proyectos/Provincias/git/Proyecto-Provincias-nuevo/03_Outputs/Turistica_Agroecologica/03_Ordenamiento/figuras/fig_11_gobierno_digital_componentes.png" id="76" name="Picture"/>
                    <pic:cNvPicPr>
                      <a:picLocks noChangeArrowheads="1" noChangeAspect="1"/>
                    </pic:cNvPicPr>
                  </pic:nvPicPr>
                  <pic:blipFill>
                    <a:blip r:embed="rId74"/>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21. Gobierno digital componentes</w:t>
      </w:r>
    </w:p>
    <w:p>
      <w:pPr>
        <w:pStyle w:val="CaptionedFigure"/>
      </w:pPr>
      <w:r>
        <w:drawing>
          <wp:inline>
            <wp:extent cx="5600700" cy="2748464"/>
            <wp:effectExtent b="0" l="0" r="0" t="0"/>
            <wp:docPr descr="22. Tti edsup" title="" id="78" name="Picture"/>
            <a:graphic>
              <a:graphicData uri="http://schemas.openxmlformats.org/drawingml/2006/picture">
                <pic:pic>
                  <pic:nvPicPr>
                    <pic:cNvPr descr="D:/LAURA/Trabajo/EAFIT/Proyectos/Provincias/git/Proyecto-Provincias-nuevo/03_Outputs/Turistica_Agroecologica/03_Ordenamiento/figuras/fig_12_tti_edsup.png" id="79" name="Picture"/>
                    <pic:cNvPicPr>
                      <a:picLocks noChangeArrowheads="1" noChangeAspect="1"/>
                    </pic:cNvPicPr>
                  </pic:nvPicPr>
                  <pic:blipFill>
                    <a:blip r:embed="rId77"/>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22. Tti edsup</w:t>
      </w:r>
    </w:p>
    <w:p>
      <w:pPr>
        <w:pStyle w:val="CaptionedFigure"/>
      </w:pPr>
      <w:r>
        <w:drawing>
          <wp:inline>
            <wp:extent cx="5600700" cy="2748464"/>
            <wp:effectExtent b="0" l="0" r="0" t="0"/>
            <wp:docPr descr="23. Internet 1000hab" title="" id="81" name="Picture"/>
            <a:graphic>
              <a:graphicData uri="http://schemas.openxmlformats.org/drawingml/2006/picture">
                <pic:pic>
                  <pic:nvPicPr>
                    <pic:cNvPr descr="D:/LAURA/Trabajo/EAFIT/Proyectos/Provincias/git/Proyecto-Provincias-nuevo/03_Outputs/Turistica_Agroecologica/03_Ordenamiento/figuras/fig_13_internet_1000hab.png" id="82" name="Picture"/>
                    <pic:cNvPicPr>
                      <a:picLocks noChangeArrowheads="1" noChangeAspect="1"/>
                    </pic:cNvPicPr>
                  </pic:nvPicPr>
                  <pic:blipFill>
                    <a:blip r:embed="rId80"/>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23. Internet 1000hab</w:t>
      </w:r>
    </w:p>
    <w:p>
      <w:pPr>
        <w:pStyle w:val="CaptionedFigure"/>
      </w:pPr>
      <w:r>
        <w:drawing>
          <wp:inline>
            <wp:extent cx="5600700" cy="2748464"/>
            <wp:effectExtent b="0" l="0" r="0" t="0"/>
            <wp:docPr descr="24. Internet fibra" title="" id="84" name="Picture"/>
            <a:graphic>
              <a:graphicData uri="http://schemas.openxmlformats.org/drawingml/2006/picture">
                <pic:pic>
                  <pic:nvPicPr>
                    <pic:cNvPr descr="D:/LAURA/Trabajo/EAFIT/Proyectos/Provincias/git/Proyecto-Provincias-nuevo/03_Outputs/Turistica_Agroecologica/03_Ordenamiento/figuras/fig_14_internet_fibra.png" id="85" name="Picture"/>
                    <pic:cNvPicPr>
                      <a:picLocks noChangeArrowheads="1" noChangeAspect="1"/>
                    </pic:cNvPicPr>
                  </pic:nvPicPr>
                  <pic:blipFill>
                    <a:blip r:embed="rId8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24. Internet fibra</w:t>
      </w:r>
    </w:p>
    <w:bookmarkEnd w:id="86"/>
    <w:bookmarkEnd w:id="87"/>
    <w:bookmarkStart w:id="106" w:name="X7789ff49533ce420e7ec7271f749e0c5d064d21"/>
    <w:p>
      <w:pPr>
        <w:pStyle w:val="Heading3"/>
      </w:pPr>
      <w:r>
        <w:t xml:space="preserve">Gobernabilidad y capacidades territoriales</w:t>
      </w:r>
    </w:p>
    <w:bookmarkStart w:id="88" w:name="gobernabilidad"/>
    <w:p>
      <w:pPr>
        <w:pStyle w:val="Heading4"/>
      </w:pPr>
      <w:r>
        <w:t xml:space="preserve">Gobernabilidad</w:t>
      </w:r>
    </w:p>
    <w:p>
      <w:pPr>
        <w:pStyle w:val="FirstParagraph"/>
      </w:pPr>
      <w:r>
        <w:t xml:space="preserve">La capacidad de gestión de los municipios determina si una apuesta provincial se ejecuta o se queda en el papel. En la Medición de Desempeño Municipal de 2024, San Jerónimo (73,0) y Giraldo (66,5) obtienen los puntajes más altos de la Provincia y Olaya (53,7) y Sabanalarga (56,0) los más bajos, con una diferencia de 19,3 puntos entre los extremos.</w:t>
      </w:r>
    </w:p>
    <w:p>
      <w:pPr>
        <w:pStyle w:val="BodyText"/>
      </w:pPr>
      <w:r>
        <w:t xml:space="preserve">El MDM no se promedia entre municipios y este informe no publica un valor provincial: el DNP compara a cada municipio dentro de su grupo de capacidades iniciales, de modo que un promedio entre grupos distintos no tendría lectura. Lo que sí es legítimo leer es la dispersión: una Provincia con municipios en extremos opuestos necesita que el esquema asociativo compense, no solo que coordine.</w:t>
      </w:r>
    </w:p>
    <w:p>
      <w:pPr>
        <w:pStyle w:val="BlockText"/>
      </w:pPr>
      <w:r>
        <w:rPr>
          <w:b/>
          <w:bCs/>
        </w:rPr>
        <w:t xml:space="preserve">Verificar con el equipo</w:t>
      </w:r>
      <w:r>
        <w:t xml:space="preserve"> </w:t>
      </w:r>
      <w:r>
        <w:t xml:space="preserve">— qué explica el desempeño de los municipios en los extremos —rotación de personal, tamaño de la planta, acompañamiento departamental— y si el esquema asociativo tiene hoy capacidad técnica propia.</w:t>
      </w:r>
    </w:p>
    <w:bookmarkEnd w:id="88"/>
    <w:bookmarkStart w:id="89" w:name="finanzas-territoriales"/>
    <w:p>
      <w:pPr>
        <w:pStyle w:val="Heading4"/>
      </w:pPr>
      <w:r>
        <w:t xml:space="preserve">Finanzas territoriales</w:t>
      </w:r>
    </w:p>
    <w:p>
      <w:pPr>
        <w:pStyle w:val="FirstParagraph"/>
      </w:pPr>
      <w:r>
        <w:t xml:space="preserve">El Índice de Desempeño Fiscal de 2024 ubica a San Jerónimo (76,7) y Buriticá (55,5) en la parte alta de la Provincia y a Sabanalarga (40,0) y Olaya (46,8) en la baja. Como el MDM, tampoco admite promedio provincial. El indicador resume la capacidad de generar recursos propios y de sostener el gasto: es el techo real de cualquier compromiso de cofinanciación que el Plan les pida asumir.</w:t>
      </w:r>
    </w:p>
    <w:p>
      <w:pPr>
        <w:pStyle w:val="BodyText"/>
      </w:pPr>
      <w:r>
        <w:t xml:space="preserve">El indicador de la Ley 617 —gastos de funcionamiento sobre ingresos corrientes de libre destinación— se publica por municipio y no se agrega: es un cociente institucional medido contra el techo legal de cada categoría, y no existe un 617 provincial. En la Provincia va de 40,3 % a 70,4 %.</w:t>
      </w:r>
    </w:p>
    <w:p>
      <w:pPr>
        <w:pStyle w:val="BlockText"/>
      </w:pPr>
      <w:r>
        <w:rPr>
          <w:b/>
          <w:bCs/>
        </w:rPr>
        <w:t xml:space="preserve">Verificar con el equipo</w:t>
      </w:r>
      <w:r>
        <w:t xml:space="preserve"> </w:t>
      </w:r>
      <w:r>
        <w:t xml:space="preserve">— el margen real de inversión de cada municipio una vez descontado el funcionamiento y el servicio de la deuda, y qué fuentes de cofinanciación —regalías, SGP, cooperación— están disponibles para la Provincia.</w:t>
      </w:r>
    </w:p>
    <w:bookmarkEnd w:id="89"/>
    <w:bookmarkStart w:id="105" w:name="índice-de-ciudades-modernas-icm"/>
    <w:p>
      <w:pPr>
        <w:pStyle w:val="Heading4"/>
      </w:pPr>
      <w:r>
        <w:t xml:space="preserve">Índice de Ciudades Modernas (ICM)</w:t>
      </w:r>
    </w:p>
    <w:p>
      <w:pPr>
        <w:pStyle w:val="FirstParagraph"/>
      </w:pPr>
      <w:r>
        <w:t xml:space="preserve">El Índice de Ciudades Modernas resume en un solo número seis dimensiones del desarrollo territorial. En 2024, Ebéjico (56,2) y San Jerónimo (52,1) encabezan la Provincia, cuyo promedio ponderado por población es de 48,9, por debajo del departamento (59,2), con una diferencia de 17 %.</w:t>
      </w:r>
    </w:p>
    <w:p>
      <w:pPr>
        <w:pStyle w:val="BodyText"/>
      </w:pPr>
      <w:r>
        <w:t xml:space="preserve">Desagregado por dimensiones, el punto más fuerte de la Provincia es equidad e inclusión social (58,0) y el más débil condiciones de vida (27,6). Esa asimetría es más útil para el Plan que el índice agregado: señala dónde una intervención encuentra base sobre la cual construir y dónde tendría que empezar de cero.</w:t>
      </w:r>
    </w:p>
    <w:p>
      <w:pPr>
        <w:pStyle w:val="BlockText"/>
      </w:pPr>
      <w:r>
        <w:rPr>
          <w:b/>
          <w:bCs/>
        </w:rPr>
        <w:t xml:space="preserve">Verificar con el equipo</w:t>
      </w:r>
      <w:r>
        <w:t xml:space="preserve"> </w:t>
      </w:r>
      <w:r>
        <w:t xml:space="preserve">— la evolución del ICM en la serie disponible: si la Provincia converge o diverge respecto del departamento, que es una lectura de tendencia y no de nivel.</w:t>
      </w:r>
    </w:p>
    <w:p>
      <w:pPr>
        <w:pStyle w:val="CaptionedFigure"/>
      </w:pPr>
      <w:r>
        <w:drawing>
          <wp:inline>
            <wp:extent cx="5600700" cy="2748464"/>
            <wp:effectExtent b="0" l="0" r="0" t="0"/>
            <wp:docPr descr="25. Mdm" title="" id="91" name="Picture"/>
            <a:graphic>
              <a:graphicData uri="http://schemas.openxmlformats.org/drawingml/2006/picture">
                <pic:pic>
                  <pic:nvPicPr>
                    <pic:cNvPr descr="D:/LAURA/Trabajo/EAFIT/Proyectos/Provincias/git/Proyecto-Provincias-nuevo/03_Outputs/Turistica_Agroecologica/04_Gobernabilidad/figuras/fig_01_mdm.png" id="92" name="Picture"/>
                    <pic:cNvPicPr>
                      <a:picLocks noChangeArrowheads="1" noChangeAspect="1"/>
                    </pic:cNvPicPr>
                  </pic:nvPicPr>
                  <pic:blipFill>
                    <a:blip r:embed="rId90"/>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25. Mdm</w:t>
      </w:r>
    </w:p>
    <w:p>
      <w:pPr>
        <w:pStyle w:val="CaptionedFigure"/>
      </w:pPr>
      <w:r>
        <w:drawing>
          <wp:inline>
            <wp:extent cx="5600700" cy="2748464"/>
            <wp:effectExtent b="0" l="0" r="0" t="0"/>
            <wp:docPr descr="26. Idf" title="" id="94" name="Picture"/>
            <a:graphic>
              <a:graphicData uri="http://schemas.openxmlformats.org/drawingml/2006/picture">
                <pic:pic>
                  <pic:nvPicPr>
                    <pic:cNvPr descr="D:/LAURA/Trabajo/EAFIT/Proyectos/Provincias/git/Proyecto-Provincias-nuevo/03_Outputs/Turistica_Agroecologica/04_Gobernabilidad/figuras/fig_02_idf.png" id="95" name="Picture"/>
                    <pic:cNvPicPr>
                      <a:picLocks noChangeArrowheads="1" noChangeAspect="1"/>
                    </pic:cNvPicPr>
                  </pic:nvPicPr>
                  <pic:blipFill>
                    <a:blip r:embed="rId9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26. Idf</w:t>
      </w:r>
    </w:p>
    <w:p>
      <w:pPr>
        <w:pStyle w:val="CaptionedFigure"/>
      </w:pPr>
      <w:r>
        <w:drawing>
          <wp:inline>
            <wp:extent cx="5600700" cy="2748464"/>
            <wp:effectExtent b="0" l="0" r="0" t="0"/>
            <wp:docPr descr="27. Ley617" title="" id="97" name="Picture"/>
            <a:graphic>
              <a:graphicData uri="http://schemas.openxmlformats.org/drawingml/2006/picture">
                <pic:pic>
                  <pic:nvPicPr>
                    <pic:cNvPr descr="D:/LAURA/Trabajo/EAFIT/Proyectos/Provincias/git/Proyecto-Provincias-nuevo/03_Outputs/Turistica_Agroecologica/04_Gobernabilidad/figuras/fig_03_ley617.png" id="98" name="Picture"/>
                    <pic:cNvPicPr>
                      <a:picLocks noChangeArrowheads="1" noChangeAspect="1"/>
                    </pic:cNvPicPr>
                  </pic:nvPicPr>
                  <pic:blipFill>
                    <a:blip r:embed="rId9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27. Ley617</w:t>
      </w:r>
    </w:p>
    <w:p>
      <w:pPr>
        <w:pStyle w:val="CaptionedFigure"/>
      </w:pPr>
      <w:r>
        <w:drawing>
          <wp:inline>
            <wp:extent cx="5600700" cy="2748464"/>
            <wp:effectExtent b="0" l="0" r="0" t="0"/>
            <wp:docPr descr="28. Icm" title="" id="100" name="Picture"/>
            <a:graphic>
              <a:graphicData uri="http://schemas.openxmlformats.org/drawingml/2006/picture">
                <pic:pic>
                  <pic:nvPicPr>
                    <pic:cNvPr descr="D:/LAURA/Trabajo/EAFIT/Proyectos/Provincias/git/Proyecto-Provincias-nuevo/03_Outputs/Turistica_Agroecologica/04_Gobernabilidad/figuras/fig_04_icm.png" id="101" name="Picture"/>
                    <pic:cNvPicPr>
                      <a:picLocks noChangeArrowheads="1" noChangeAspect="1"/>
                    </pic:cNvPicPr>
                  </pic:nvPicPr>
                  <pic:blipFill>
                    <a:blip r:embed="rId9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28. Icm</w:t>
      </w:r>
    </w:p>
    <w:p>
      <w:pPr>
        <w:pStyle w:val="CaptionedFigure"/>
      </w:pPr>
      <w:r>
        <w:drawing>
          <wp:inline>
            <wp:extent cx="5600700" cy="4865404"/>
            <wp:effectExtent b="0" l="0" r="0" t="0"/>
            <wp:docPr descr="29. Icm dimensiones" title="" id="103" name="Picture"/>
            <a:graphic>
              <a:graphicData uri="http://schemas.openxmlformats.org/drawingml/2006/picture">
                <pic:pic>
                  <pic:nvPicPr>
                    <pic:cNvPr descr="D:/LAURA/Trabajo/EAFIT/Proyectos/Provincias/git/Proyecto-Provincias-nuevo/03_Outputs/Turistica_Agroecologica/04_Gobernabilidad/figuras/fig_05_icm_dimensiones.png" id="104" name="Picture"/>
                    <pic:cNvPicPr>
                      <a:picLocks noChangeArrowheads="1" noChangeAspect="1"/>
                    </pic:cNvPicPr>
                  </pic:nvPicPr>
                  <pic:blipFill>
                    <a:blip r:embed="rId102"/>
                    <a:stretch>
                      <a:fillRect/>
                    </a:stretch>
                  </pic:blipFill>
                  <pic:spPr bwMode="auto">
                    <a:xfrm>
                      <a:off x="0" y="0"/>
                      <a:ext cx="5600700" cy="4865404"/>
                    </a:xfrm>
                    <a:prstGeom prst="rect">
                      <a:avLst/>
                    </a:prstGeom>
                    <a:noFill/>
                    <a:ln w="9525">
                      <a:noFill/>
                      <a:headEnd/>
                      <a:tailEnd/>
                    </a:ln>
                  </pic:spPr>
                </pic:pic>
              </a:graphicData>
            </a:graphic>
          </wp:inline>
        </w:drawing>
      </w:r>
    </w:p>
    <w:p>
      <w:pPr>
        <w:pStyle w:val="ImageCaption"/>
      </w:pPr>
      <w:r>
        <w:t xml:space="preserve">29. Icm dimensiones</w:t>
      </w:r>
    </w:p>
    <w:bookmarkEnd w:id="105"/>
    <w:bookmarkEnd w:id="106"/>
    <w:bookmarkStart w:id="159" w:name="economía-y-desarrollo"/>
    <w:p>
      <w:pPr>
        <w:pStyle w:val="Heading3"/>
      </w:pPr>
      <w:r>
        <w:t xml:space="preserve">Economía y desarrollo</w:t>
      </w:r>
    </w:p>
    <w:p>
      <w:pPr>
        <w:pStyle w:val="FirstParagraph"/>
      </w:pPr>
      <w:r>
        <w:t xml:space="preserve">Esta sección describe de qué vive la Provincia Turística y Agroecológica y en qué condiciones lo hace. Ordena cuatro asuntos: las condiciones de vida y el mercado laboral, la productividad medida por el valor agregado, la actividad minero-energética y el turismo. El hilo que los une es la pregunta de cuánta de la riqueza que se genera en el territorio se queda en él.</w:t>
      </w:r>
    </w:p>
    <w:bookmarkStart w:id="107" w:name="pobreza-y-mercado-laboral"/>
    <w:p>
      <w:pPr>
        <w:pStyle w:val="Heading4"/>
      </w:pPr>
      <w:r>
        <w:t xml:space="preserve">Pobreza y mercado laboral</w:t>
      </w:r>
    </w:p>
    <w:p>
      <w:pPr>
        <w:pStyle w:val="FirstParagraph"/>
      </w:pPr>
      <w:r>
        <w:t xml:space="preserve">La pobreza medida por Necesidades Básicas Insatisfechas alcanza sus valores más altos en Buriticá (20,0 %), Heliconia (16,1 %) y Sabanalarga (15,3 %) y los más bajos en Giraldo (3,6 %) y Ebéjico (5,2 %). En el conjunto de la Provincia afecta al 11,4 % de las personas, en un nivel prácticamente igual al del departamento (11,4 %). En el mapa, los 3 municipios con los valores más altos forman un patrón parcialmente contiguo.</w:t>
      </w:r>
    </w:p>
    <w:p>
      <w:pPr>
        <w:pStyle w:val="BodyText"/>
      </w:pPr>
      <w:r>
        <w:t xml:space="preserve">La lectura urbano-rural es más severa que la agregada: en Buriticá, el NBI rural llega al 19,1 %. La pobreza de esta Provincia es fundamentalmente rural, y eso significa que se resuelve con bienes públicos —agua, saneamiento, vía, escuela— antes que con transferencias.</w:t>
      </w:r>
    </w:p>
    <w:p>
      <w:pPr>
        <w:pStyle w:val="BodyText"/>
      </w:pPr>
      <w:r>
        <w:t xml:space="preserve">El Índice de Pobreza Multidimensional, que mide privaciones en educación, salud, trabajo y condiciones de la vivienda, sitúa a la Provincia en 9,5 %. Las dos medidas —NBI e IPM— coinciden en el diagnóstico y difieren en el detalle: la primera señala carencias estructurales de la vivienda y la segunda añade las del acceso a servicios y al empleo.</w:t>
      </w:r>
    </w:p>
    <w:p>
      <w:pPr>
        <w:pStyle w:val="BodyText"/>
      </w:pPr>
      <w:r>
        <w:t xml:space="preserve">En el mercado laboral, la informalidad promedio de los municipios de la Provincia es del 66,3 % y alcanza sus máximos en Sabanalarga (85,8 %) y Heliconia (69,5 %), con una tasa de ocupación promedio del 50,7 %. La informalidad no es solo un problema de ingresos: define la base tributaria del municipio, el acceso a la seguridad social y la composición del aseguramiento en salud que se describe más adelante.</w:t>
      </w:r>
    </w:p>
    <w:p>
      <w:pPr>
        <w:pStyle w:val="BodyText"/>
      </w:pPr>
      <w:r>
        <w:t xml:space="preserve">Entre la población joven, la proporción que no estudia ni trabaja es más alta en Sabanalarga (32,2 %) y Heliconia (29,5 %). Es el indicador que conecta esta sección con la de educación y con la de seguridad: un joven fuera del sistema educativo y del mercado laboral formal es, en términos de política pública, una oportunidad perdida y un riesgo.</w:t>
      </w:r>
    </w:p>
    <w:p>
      <w:pPr>
        <w:pStyle w:val="BlockText"/>
      </w:pPr>
      <w:r>
        <w:rPr>
          <w:b/>
          <w:bCs/>
        </w:rPr>
        <w:t xml:space="preserve">Verificar con el equipo</w:t>
      </w:r>
      <w:r>
        <w:t xml:space="preserve"> </w:t>
      </w:r>
      <w:r>
        <w:t xml:space="preserve">— qué actividades absorben el empleo informal en la Provincia y si existen procesos de formalización en marcha. La ECV mide la condición, no el sector que la genera.</w:t>
      </w:r>
    </w:p>
    <w:bookmarkEnd w:id="107"/>
    <w:bookmarkStart w:id="108" w:name="productividad-y-competitividad"/>
    <w:p>
      <w:pPr>
        <w:pStyle w:val="Heading4"/>
      </w:pPr>
      <w:r>
        <w:t xml:space="preserve">Productividad y competitividad</w:t>
      </w:r>
    </w:p>
    <w:p>
      <w:pPr>
        <w:pStyle w:val="FirstParagraph"/>
      </w:pPr>
      <w:r>
        <w:t xml:space="preserve">En 2024, la generación de valor agregado de la Provincia está muy concentrada: Buriticá y Ebéjico reúnen el 77 % del total. El valor agregado por habitante es mayor en Buriticá (131.149.137) y Ebéjico (20.377.419) y menor en Sabanalarga (8.508.422) y Giraldo (8.540.830), una brecha que describe territorios con capacidades productivas muy distintas dentro del mismo esquema asociativo.</w:t>
      </w:r>
    </w:p>
    <w:p>
      <w:pPr>
        <w:pStyle w:val="BodyText"/>
      </w:pPr>
      <w:r>
        <w:t xml:space="preserve">Por composición sectorial, las actividades primarias aportan el 44,7 % del valor agregado provincial, las secundarias el 2,0 % y las terciarias el 26,4 %. Los tres agregados no suman el total: la serie a precios constantes deja un remanente sin distribuir, de modo que las participaciones se calculan siempre sobre el valor agregado total y no sobre la suma de los tres.</w:t>
      </w:r>
    </w:p>
    <w:p>
      <w:pPr>
        <w:pStyle w:val="BodyText"/>
      </w:pPr>
      <w:r>
        <w:t xml:space="preserve">Las cifras van a precios constantes de 2015. El Anexo 1 publicó esta misma tabla a precios corrientes, de modo que los dos valores son correctos y no son comparables entre sí: la diferencia es el deflactor, no un cambio en la economía de la Provincia.</w:t>
      </w:r>
    </w:p>
    <w:p>
      <w:pPr>
        <w:pStyle w:val="BodyText"/>
      </w:pPr>
      <w:r>
        <w:t xml:space="preserve">La densidad empresarial —empresas registradas por cada mil habitantes— es mayor en San Jerónimo (27,92) y Buriticá (24,69), con un promedio provincial ponderado de 22,33. Es una medida de formalización tanto como de actividad: donde la densidad es baja, buena parte de la economía existe pero no está registrada, lo que la deja fuera del crédito, de la contratación pública y de los programas de apoyo empresarial.</w:t>
      </w:r>
    </w:p>
    <w:p>
      <w:pPr>
        <w:pStyle w:val="BlockText"/>
      </w:pPr>
      <w:r>
        <w:rPr>
          <w:b/>
          <w:bCs/>
        </w:rPr>
        <w:t xml:space="preserve">Verificar con el equipo</w:t>
      </w:r>
      <w:r>
        <w:t xml:space="preserve"> </w:t>
      </w:r>
      <w:r>
        <w:t xml:space="preserve">— qué cadenas productivas concretas explican el valor agregado de los municipios que lo concentran, y si existen encadenamientos entre municipios de la Provincia o cada uno se articula por separado hacia afuera.</w:t>
      </w:r>
    </w:p>
    <w:bookmarkEnd w:id="108"/>
    <w:bookmarkStart w:id="109" w:name="mercado-minero-energético"/>
    <w:p>
      <w:pPr>
        <w:pStyle w:val="Heading4"/>
      </w:pPr>
      <w:r>
        <w:t xml:space="preserve">Mercado minero-energético</w:t>
      </w:r>
    </w:p>
    <w:p>
      <w:pPr>
        <w:pStyle w:val="FirstParagraph"/>
      </w:pPr>
      <w:r>
        <w:t xml:space="preserve">Esa capacidad representa el 0,0 % de la de Antioquia y el 0,0 % del Sistema Interconectado Nacional.</w:t>
      </w:r>
    </w:p>
    <w:p>
      <w:pPr>
        <w:pStyle w:val="BodyText"/>
      </w:pPr>
      <w:r>
        <w:t xml:space="preserve">En minería, la Provincia registra títulos vigentes sobre 36 tipos de mineral. Los más frecuentes son arenas (13 títulos), minerales de oro y sus concentrados (13 títulos) y gravas (12 títulos). Se cuentan títulos activos distintos: uno que ampara varios minerales cuenta en cada uno, y uno que cubre varios municipios cuenta una sola vez.</w:t>
      </w:r>
    </w:p>
    <w:p>
      <w:pPr>
        <w:pStyle w:val="BlockText"/>
      </w:pPr>
      <w:r>
        <w:rPr>
          <w:b/>
          <w:bCs/>
        </w:rPr>
        <w:t xml:space="preserve">Verificar con el equipo</w:t>
      </w:r>
      <w:r>
        <w:t xml:space="preserve"> </w:t>
      </w:r>
      <w:r>
        <w:t xml:space="preserve">— qué parte de la actividad minera es formal y qué parte no, y cómo se distribuyen las regalías y las transferencias del sector eléctrico entre los municipios de la Provincia.</w:t>
      </w:r>
    </w:p>
    <w:bookmarkEnd w:id="109"/>
    <w:bookmarkStart w:id="158" w:name="turismo"/>
    <w:p>
      <w:pPr>
        <w:pStyle w:val="Heading4"/>
      </w:pPr>
      <w:r>
        <w:t xml:space="preserve">Turismo</w:t>
      </w:r>
    </w:p>
    <w:p>
      <w:pPr>
        <w:pStyle w:val="FirstParagraph"/>
      </w:pPr>
      <w:r>
        <w:t xml:space="preserve">En 2026, la Provincia recibió 33 visitantes extranjeros no residentes, el 0,0 % del total departamental. La cifra cuenta visitantes extranjeros, no turistas totales: el turismo interno, que en territorios como este suele ser el grueso, no está en esta fuente.</w:t>
      </w:r>
    </w:p>
    <w:p>
      <w:pPr>
        <w:pStyle w:val="BodyText"/>
      </w:pPr>
      <w:r>
        <w:t xml:space="preserve">En instrumentos de planificación turística, 1 de los 7 municipios cuentan con Plan Local de Turismo y 4 con Mesa Local. La capacidad de gestión del turismo antecede a la llegada de visitantes: sin instrumento local, la actividad crece sin ordenamiento y sus beneficios se capturan fuera del municipio.</w:t>
      </w:r>
    </w:p>
    <w:p>
      <w:pPr>
        <w:pStyle w:val="BlockText"/>
      </w:pPr>
      <w:r>
        <w:rPr>
          <w:b/>
          <w:bCs/>
        </w:rPr>
        <w:t xml:space="preserve">Verificar con el equipo</w:t>
      </w:r>
      <w:r>
        <w:t xml:space="preserve"> </w:t>
      </w:r>
      <w:r>
        <w:t xml:space="preserve">— qué atractivos concretos tiene la Provincia y en qué estado están sus inventarios turísticos, y si el turismo aparece como Hecho Provincial en la versión preliminar del Plan.</w:t>
      </w:r>
    </w:p>
    <w:p>
      <w:pPr>
        <w:pStyle w:val="CaptionedFigure"/>
      </w:pPr>
      <w:r>
        <w:drawing>
          <wp:inline>
            <wp:extent cx="5600700" cy="3851407"/>
            <wp:effectExtent b="0" l="0" r="0" t="0"/>
            <wp:docPr descr="30. Va per cápita" title="" id="111" name="Picture"/>
            <a:graphic>
              <a:graphicData uri="http://schemas.openxmlformats.org/drawingml/2006/picture">
                <pic:pic>
                  <pic:nvPicPr>
                    <pic:cNvPr descr="D:/LAURA/Trabajo/EAFIT/Proyectos/Provincias/git/Proyecto-Provincias-nuevo/03_Outputs/Turistica_Agroecologica/05_Economia/figuras/mapa_05_va_percapita.png" id="112" name="Picture"/>
                    <pic:cNvPicPr>
                      <a:picLocks noChangeArrowheads="1" noChangeAspect="1"/>
                    </pic:cNvPicPr>
                  </pic:nvPicPr>
                  <pic:blipFill>
                    <a:blip r:embed="rId110"/>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30. Va per cápita</w:t>
      </w:r>
    </w:p>
    <w:p>
      <w:pPr>
        <w:pStyle w:val="CaptionedFigure"/>
      </w:pPr>
      <w:r>
        <w:drawing>
          <wp:inline>
            <wp:extent cx="5600700" cy="2748464"/>
            <wp:effectExtent b="0" l="0" r="0" t="0"/>
            <wp:docPr descr="31. Pobreza NBI" title="" id="114" name="Picture"/>
            <a:graphic>
              <a:graphicData uri="http://schemas.openxmlformats.org/drawingml/2006/picture">
                <pic:pic>
                  <pic:nvPicPr>
                    <pic:cNvPr descr="D:/LAURA/Trabajo/EAFIT/Proyectos/Provincias/git/Proyecto-Provincias-nuevo/03_Outputs/Turistica_Agroecologica/05_Economia/figuras/fig_01_pobreza_nbi.png" id="115" name="Picture"/>
                    <pic:cNvPicPr>
                      <a:picLocks noChangeArrowheads="1" noChangeAspect="1"/>
                    </pic:cNvPicPr>
                  </pic:nvPicPr>
                  <pic:blipFill>
                    <a:blip r:embed="rId11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31. Pobreza NBI</w:t>
      </w:r>
    </w:p>
    <w:p>
      <w:pPr>
        <w:pStyle w:val="CaptionedFigure"/>
      </w:pPr>
      <w:r>
        <w:drawing>
          <wp:inline>
            <wp:extent cx="5600700" cy="2748464"/>
            <wp:effectExtent b="0" l="0" r="0" t="0"/>
            <wp:docPr descr="32. Pobreza IPM" title="" id="117" name="Picture"/>
            <a:graphic>
              <a:graphicData uri="http://schemas.openxmlformats.org/drawingml/2006/picture">
                <pic:pic>
                  <pic:nvPicPr>
                    <pic:cNvPr descr="D:/LAURA/Trabajo/EAFIT/Proyectos/Provincias/git/Proyecto-Provincias-nuevo/03_Outputs/Turistica_Agroecologica/05_Economia/figuras/fig_02_pobreza_ipm.png" id="118" name="Picture"/>
                    <pic:cNvPicPr>
                      <a:picLocks noChangeArrowheads="1" noChangeAspect="1"/>
                    </pic:cNvPicPr>
                  </pic:nvPicPr>
                  <pic:blipFill>
                    <a:blip r:embed="rId11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32. Pobreza IPM</w:t>
      </w:r>
    </w:p>
    <w:p>
      <w:pPr>
        <w:pStyle w:val="CaptionedFigure"/>
      </w:pPr>
      <w:r>
        <w:drawing>
          <wp:inline>
            <wp:extent cx="5600700" cy="2748464"/>
            <wp:effectExtent b="0" l="0" r="0" t="0"/>
            <wp:docPr descr="33. Gini hogar laboral" title="" id="120" name="Picture"/>
            <a:graphic>
              <a:graphicData uri="http://schemas.openxmlformats.org/drawingml/2006/picture">
                <pic:pic>
                  <pic:nvPicPr>
                    <pic:cNvPr descr="D:/LAURA/Trabajo/EAFIT/Proyectos/Provincias/git/Proyecto-Provincias-nuevo/03_Outputs/Turistica_Agroecologica/05_Economia/figuras/fig_03_gini_hogar_laboral.png" id="121" name="Picture"/>
                    <pic:cNvPicPr>
                      <a:picLocks noChangeArrowheads="1" noChangeAspect="1"/>
                    </pic:cNvPicPr>
                  </pic:nvPicPr>
                  <pic:blipFill>
                    <a:blip r:embed="rId11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33. Gini hogar laboral</w:t>
      </w:r>
    </w:p>
    <w:p>
      <w:pPr>
        <w:pStyle w:val="CaptionedFigure"/>
      </w:pPr>
      <w:r>
        <w:drawing>
          <wp:inline>
            <wp:extent cx="5600700" cy="2748464"/>
            <wp:effectExtent b="0" l="0" r="0" t="0"/>
            <wp:docPr descr="34. Ocupación informalidad" title="" id="123" name="Picture"/>
            <a:graphic>
              <a:graphicData uri="http://schemas.openxmlformats.org/drawingml/2006/picture">
                <pic:pic>
                  <pic:nvPicPr>
                    <pic:cNvPr descr="D:/LAURA/Trabajo/EAFIT/Proyectos/Provincias/git/Proyecto-Provincias-nuevo/03_Outputs/Turistica_Agroecologica/05_Economia/figuras/fig_04_ocupacion_informalidad.png" id="124" name="Picture"/>
                    <pic:cNvPicPr>
                      <a:picLocks noChangeArrowheads="1" noChangeAspect="1"/>
                    </pic:cNvPicPr>
                  </pic:nvPicPr>
                  <pic:blipFill>
                    <a:blip r:embed="rId122"/>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34. Ocupación informalidad</w:t>
      </w:r>
    </w:p>
    <w:p>
      <w:pPr>
        <w:pStyle w:val="CaptionedFigure"/>
      </w:pPr>
      <w:r>
        <w:drawing>
          <wp:inline>
            <wp:extent cx="5600700" cy="2748464"/>
            <wp:effectExtent b="0" l="0" r="0" t="0"/>
            <wp:docPr descr="35. Desocupación total jovenes" title="" id="126" name="Picture"/>
            <a:graphic>
              <a:graphicData uri="http://schemas.openxmlformats.org/drawingml/2006/picture">
                <pic:pic>
                  <pic:nvPicPr>
                    <pic:cNvPr descr="D:/LAURA/Trabajo/EAFIT/Proyectos/Provincias/git/Proyecto-Provincias-nuevo/03_Outputs/Turistica_Agroecologica/05_Economia/figuras/fig_05_desocupacion_total_jovenes.png" id="127" name="Picture"/>
                    <pic:cNvPicPr>
                      <a:picLocks noChangeArrowheads="1" noChangeAspect="1"/>
                    </pic:cNvPicPr>
                  </pic:nvPicPr>
                  <pic:blipFill>
                    <a:blip r:embed="rId125"/>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35. Desocupación total jovenes</w:t>
      </w:r>
    </w:p>
    <w:p>
      <w:pPr>
        <w:pStyle w:val="CaptionedFigure"/>
      </w:pPr>
      <w:r>
        <w:drawing>
          <wp:inline>
            <wp:extent cx="5600700" cy="2748464"/>
            <wp:effectExtent b="0" l="0" r="0" t="0"/>
            <wp:docPr descr="36. Jovenes NiNi" title="" id="129" name="Picture"/>
            <a:graphic>
              <a:graphicData uri="http://schemas.openxmlformats.org/drawingml/2006/picture">
                <pic:pic>
                  <pic:nvPicPr>
                    <pic:cNvPr descr="D:/LAURA/Trabajo/EAFIT/Proyectos/Provincias/git/Proyecto-Provincias-nuevo/03_Outputs/Turistica_Agroecologica/05_Economia/figuras/fig_06_jovenes_nini.png" id="130" name="Picture"/>
                    <pic:cNvPicPr>
                      <a:picLocks noChangeArrowheads="1" noChangeAspect="1"/>
                    </pic:cNvPicPr>
                  </pic:nvPicPr>
                  <pic:blipFill>
                    <a:blip r:embed="rId128"/>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36. Jovenes NiNi</w:t>
      </w:r>
    </w:p>
    <w:p>
      <w:pPr>
        <w:pStyle w:val="CaptionedFigure"/>
      </w:pPr>
      <w:r>
        <w:drawing>
          <wp:inline>
            <wp:extent cx="5600700" cy="2748464"/>
            <wp:effectExtent b="0" l="0" r="0" t="0"/>
            <wp:docPr descr="37. Dependencia económica" title="" id="132" name="Picture"/>
            <a:graphic>
              <a:graphicData uri="http://schemas.openxmlformats.org/drawingml/2006/picture">
                <pic:pic>
                  <pic:nvPicPr>
                    <pic:cNvPr descr="D:/LAURA/Trabajo/EAFIT/Proyectos/Provincias/git/Proyecto-Provincias-nuevo/03_Outputs/Turistica_Agroecologica/05_Economia/figuras/fig_07_dependencia_economica.png" id="133" name="Picture"/>
                    <pic:cNvPicPr>
                      <a:picLocks noChangeArrowheads="1" noChangeAspect="1"/>
                    </pic:cNvPicPr>
                  </pic:nvPicPr>
                  <pic:blipFill>
                    <a:blip r:embed="rId131"/>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37. Dependencia económica</w:t>
      </w:r>
    </w:p>
    <w:p>
      <w:pPr>
        <w:pStyle w:val="CaptionedFigure"/>
      </w:pPr>
      <w:r>
        <w:drawing>
          <wp:inline>
            <wp:extent cx="5600700" cy="2748464"/>
            <wp:effectExtent b="0" l="0" r="0" t="0"/>
            <wp:docPr descr="38. Densidad empresarial" title="" id="135" name="Picture"/>
            <a:graphic>
              <a:graphicData uri="http://schemas.openxmlformats.org/drawingml/2006/picture">
                <pic:pic>
                  <pic:nvPicPr>
                    <pic:cNvPr descr="D:/LAURA/Trabajo/EAFIT/Proyectos/Provincias/git/Proyecto-Provincias-nuevo/03_Outputs/Turistica_Agroecologica/05_Economia/figuras/fig_08_densidad_empresarial.png" id="136" name="Picture"/>
                    <pic:cNvPicPr>
                      <a:picLocks noChangeArrowheads="1" noChangeAspect="1"/>
                    </pic:cNvPicPr>
                  </pic:nvPicPr>
                  <pic:blipFill>
                    <a:blip r:embed="rId134"/>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38. Densidad empresarial</w:t>
      </w:r>
    </w:p>
    <w:p>
      <w:pPr>
        <w:pStyle w:val="CaptionedFigure"/>
      </w:pPr>
      <w:r>
        <w:drawing>
          <wp:inline>
            <wp:extent cx="5600700" cy="2748464"/>
            <wp:effectExtent b="0" l="0" r="0" t="0"/>
            <wp:docPr descr="39. Valor agregado per capita" title="" id="138" name="Picture"/>
            <a:graphic>
              <a:graphicData uri="http://schemas.openxmlformats.org/drawingml/2006/picture">
                <pic:pic>
                  <pic:nvPicPr>
                    <pic:cNvPr descr="D:/LAURA/Trabajo/EAFIT/Proyectos/Provincias/git/Proyecto-Provincias-nuevo/03_Outputs/Turistica_Agroecologica/05_Economia/figuras/fig_09_valor_agregado_per_capita.png" id="139" name="Picture"/>
                    <pic:cNvPicPr>
                      <a:picLocks noChangeArrowheads="1" noChangeAspect="1"/>
                    </pic:cNvPicPr>
                  </pic:nvPicPr>
                  <pic:blipFill>
                    <a:blip r:embed="rId137"/>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39. Valor agregado per capita</w:t>
      </w:r>
    </w:p>
    <w:p>
      <w:pPr>
        <w:pStyle w:val="CaptionedFigure"/>
      </w:pPr>
      <w:r>
        <w:drawing>
          <wp:inline>
            <wp:extent cx="5600700" cy="2748464"/>
            <wp:effectExtent b="0" l="0" r="0" t="0"/>
            <wp:docPr descr="40. Peso relativo valor agregado" title="" id="141" name="Picture"/>
            <a:graphic>
              <a:graphicData uri="http://schemas.openxmlformats.org/drawingml/2006/picture">
                <pic:pic>
                  <pic:nvPicPr>
                    <pic:cNvPr descr="D:/LAURA/Trabajo/EAFIT/Proyectos/Provincias/git/Proyecto-Provincias-nuevo/03_Outputs/Turistica_Agroecologica/05_Economia/figuras/fig_10_peso_relativo_valor_agregado.png" id="142" name="Picture"/>
                    <pic:cNvPicPr>
                      <a:picLocks noChangeArrowheads="1" noChangeAspect="1"/>
                    </pic:cNvPicPr>
                  </pic:nvPicPr>
                  <pic:blipFill>
                    <a:blip r:embed="rId140"/>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40. Peso relativo valor agregado</w:t>
      </w:r>
    </w:p>
    <w:p>
      <w:pPr>
        <w:pStyle w:val="CaptionedFigure"/>
      </w:pPr>
      <w:r>
        <w:drawing>
          <wp:inline>
            <wp:extent cx="5600700" cy="2748464"/>
            <wp:effectExtent b="0" l="0" r="0" t="0"/>
            <wp:docPr descr="41. Composicion valor agregado" title="" id="144" name="Picture"/>
            <a:graphic>
              <a:graphicData uri="http://schemas.openxmlformats.org/drawingml/2006/picture">
                <pic:pic>
                  <pic:nvPicPr>
                    <pic:cNvPr descr="D:/LAURA/Trabajo/EAFIT/Proyectos/Provincias/git/Proyecto-Provincias-nuevo/03_Outputs/Turistica_Agroecologica/05_Economia/figuras/fig_11_composicion_valor_agregado.png" id="145" name="Picture"/>
                    <pic:cNvPicPr>
                      <a:picLocks noChangeArrowheads="1" noChangeAspect="1"/>
                    </pic:cNvPicPr>
                  </pic:nvPicPr>
                  <pic:blipFill>
                    <a:blip r:embed="rId14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41. Composicion valor agregado</w:t>
      </w:r>
    </w:p>
    <w:p>
      <w:pPr>
        <w:pStyle w:val="CaptionedFigure"/>
      </w:pPr>
      <w:r>
        <w:drawing>
          <wp:inline>
            <wp:extent cx="5600700" cy="3709092"/>
            <wp:effectExtent b="0" l="0" r="0" t="0"/>
            <wp:docPr descr="42. Valor agregado actividades" title="" id="147" name="Picture"/>
            <a:graphic>
              <a:graphicData uri="http://schemas.openxmlformats.org/drawingml/2006/picture">
                <pic:pic>
                  <pic:nvPicPr>
                    <pic:cNvPr descr="D:/LAURA/Trabajo/EAFIT/Proyectos/Provincias/git/Proyecto-Provincias-nuevo/03_Outputs/Turistica_Agroecologica/05_Economia/figuras/fig_12_valor_agregado_actividades.png" id="148" name="Picture"/>
                    <pic:cNvPicPr>
                      <a:picLocks noChangeArrowheads="1" noChangeAspect="1"/>
                    </pic:cNvPicPr>
                  </pic:nvPicPr>
                  <pic:blipFill>
                    <a:blip r:embed="rId146"/>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42. Valor agregado actividades</w:t>
      </w:r>
    </w:p>
    <w:p>
      <w:pPr>
        <w:pStyle w:val="CaptionedFigure"/>
      </w:pPr>
      <w:r>
        <w:drawing>
          <wp:inline>
            <wp:extent cx="5600700" cy="3519338"/>
            <wp:effectExtent b="0" l="0" r="0" t="0"/>
            <wp:docPr descr="43. Títulos mineros" title="" id="150" name="Picture"/>
            <a:graphic>
              <a:graphicData uri="http://schemas.openxmlformats.org/drawingml/2006/picture">
                <pic:pic>
                  <pic:nvPicPr>
                    <pic:cNvPr descr="D:/LAURA/Trabajo/EAFIT/Proyectos/Provincias/git/Proyecto-Provincias-nuevo/03_Outputs/Turistica_Agroecologica/05_Economia/figuras/fig_13_titulos_mineros.png" id="151" name="Picture"/>
                    <pic:cNvPicPr>
                      <a:picLocks noChangeArrowheads="1" noChangeAspect="1"/>
                    </pic:cNvPicPr>
                  </pic:nvPicPr>
                  <pic:blipFill>
                    <a:blip r:embed="rId149"/>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43. Títulos mineros</w:t>
      </w:r>
    </w:p>
    <w:p>
      <w:pPr>
        <w:pStyle w:val="CaptionedFigure"/>
      </w:pPr>
      <w:r>
        <w:drawing>
          <wp:inline>
            <wp:extent cx="5600700" cy="2798867"/>
            <wp:effectExtent b="0" l="0" r="0" t="0"/>
            <wp:docPr descr="44. Visitantes extranjeros" title="" id="153" name="Picture"/>
            <a:graphic>
              <a:graphicData uri="http://schemas.openxmlformats.org/drawingml/2006/picture">
                <pic:pic>
                  <pic:nvPicPr>
                    <pic:cNvPr descr="D:/LAURA/Trabajo/EAFIT/Proyectos/Provincias/git/Proyecto-Provincias-nuevo/03_Outputs/Turistica_Agroecologica/05_Economia/figuras/fig_14_visitantes_extranjeros.png" id="154" name="Picture"/>
                    <pic:cNvPicPr>
                      <a:picLocks noChangeArrowheads="1" noChangeAspect="1"/>
                    </pic:cNvPicPr>
                  </pic:nvPicPr>
                  <pic:blipFill>
                    <a:blip r:embed="rId152"/>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44. Visitantes extranjeros</w:t>
      </w:r>
    </w:p>
    <w:p>
      <w:pPr>
        <w:pStyle w:val="CaptionedFigure"/>
      </w:pPr>
      <w:r>
        <w:drawing>
          <wp:inline>
            <wp:extent cx="5600700" cy="2798867"/>
            <wp:effectExtent b="0" l="0" r="0" t="0"/>
            <wp:docPr descr="45. Participación visitantes" title="" id="156" name="Picture"/>
            <a:graphic>
              <a:graphicData uri="http://schemas.openxmlformats.org/drawingml/2006/picture">
                <pic:pic>
                  <pic:nvPicPr>
                    <pic:cNvPr descr="D:/LAURA/Trabajo/EAFIT/Proyectos/Provincias/git/Proyecto-Provincias-nuevo/03_Outputs/Turistica_Agroecologica/05_Economia/figuras/fig_15_participacion_visitantes.png" id="157" name="Picture"/>
                    <pic:cNvPicPr>
                      <a:picLocks noChangeArrowheads="1" noChangeAspect="1"/>
                    </pic:cNvPicPr>
                  </pic:nvPicPr>
                  <pic:blipFill>
                    <a:blip r:embed="rId15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45. Participación visitantes</w:t>
      </w:r>
    </w:p>
    <w:bookmarkEnd w:id="158"/>
    <w:bookmarkEnd w:id="159"/>
    <w:bookmarkStart w:id="175" w:name="desarrollo-rural"/>
    <w:p>
      <w:pPr>
        <w:pStyle w:val="Heading3"/>
      </w:pPr>
      <w:r>
        <w:t xml:space="preserve">Desarrollo Rural</w:t>
      </w:r>
    </w:p>
    <w:p>
      <w:pPr>
        <w:pStyle w:val="FirstParagraph"/>
      </w:pPr>
      <w:r>
        <w:t xml:space="preserve">En una Provincia donde el 66,0 % de la población vive en zona rural, el desarrollo rural no es una sección sectorial más: es la descripción de la base económica de la mayoría de sus habitantes.</w:t>
      </w:r>
    </w:p>
    <w:p>
      <w:pPr>
        <w:pStyle w:val="BodyText"/>
      </w:pPr>
      <w:r>
        <w:t xml:space="preserve">El inventario pecuario de 2025 suma 333.275 cabezas en la Provincia, muy concentrada: Ebéjico y Heliconia reúnen el 92 % del total. La composición está dominada por porcinos (282.599) y bovinos (47.191). El inventario no incluye aves: la fuente de este flujo no las reporta.</w:t>
      </w:r>
    </w:p>
    <w:p>
      <w:pPr>
        <w:pStyle w:val="BodyText"/>
      </w:pPr>
      <w:r>
        <w:t xml:space="preserve">En producción agrícola, 2025 muestra una actividad muy concentrada: Ebéjico y San Jerónimo concentran el 79 % de las toneladas producidas en la Provincia. Los cultivos permanentes representan el 90,0 % de la producción, frente al 10,0 % de los transitorios. El predominio de permanentes indica una estructura productiva más estable pero también menos flexible ante un cambio de precios, porque la reconversión toma años.</w:t>
      </w:r>
    </w:p>
    <w:p>
      <w:pPr>
        <w:pStyle w:val="BodyText"/>
      </w:pPr>
      <w:r>
        <w:t xml:space="preserve">El cultivo permanente principal es caña en 3 de los 7 municipios de la Provincia. Que un mismo producto domine en tantos municipios define una vocación compartida, y con ella una oportunidad de acción conjunta —asistencia técnica, acopio, comercialización— que es exactamente el tipo de intervención que justifica un esquema asociativo.</w:t>
      </w:r>
    </w:p>
    <w:p>
      <w:pPr>
        <w:pStyle w:val="BodyText"/>
      </w:pPr>
      <w:r>
        <w:t xml:space="preserve">El rendimiento agregado —producción total sobre área cosechada— es mayor en Ebéjico (12,70) y San Jerónimo (11,59) y menor en Sabanalarga (1,82) y Giraldo (1,98), con un valor provincial de 7,11 toneladas por hectárea. El rendimiento provincial se recalcula sobre las sumas y no promedia los rendimientos municipales, que darían un número distinto y sobrerrepresentarían a los municipios de menor producción.</w:t>
      </w:r>
    </w:p>
    <w:p>
      <w:pPr>
        <w:pStyle w:val="BlockText"/>
      </w:pPr>
      <w:r>
        <w:rPr>
          <w:b/>
          <w:bCs/>
        </w:rPr>
        <w:t xml:space="preserve">Verificar con el equipo</w:t>
      </w:r>
      <w:r>
        <w:t xml:space="preserve"> </w:t>
      </w:r>
      <w:r>
        <w:t xml:space="preserve">— el régimen de tenencia de la tierra, el acceso a asistencia técnica y los canales de comercialización de los principales productos. El inventario dice qué se produce y cuánto; no dice quién lo produce ni en qué condiciones lo vende.</w:t>
      </w:r>
    </w:p>
    <w:p>
      <w:pPr>
        <w:pStyle w:val="CaptionedFigure"/>
      </w:pPr>
      <w:r>
        <w:drawing>
          <wp:inline>
            <wp:extent cx="5600700" cy="2748464"/>
            <wp:effectExtent b="0" l="0" r="0" t="0"/>
            <wp:docPr descr="46. Participación pecuaria" title="" id="161" name="Picture"/>
            <a:graphic>
              <a:graphicData uri="http://schemas.openxmlformats.org/drawingml/2006/picture">
                <pic:pic>
                  <pic:nvPicPr>
                    <pic:cNvPr descr="D:/LAURA/Trabajo/EAFIT/Proyectos/Provincias/git/Proyecto-Provincias-nuevo/03_Outputs/Turistica_Agroecologica/06_Desarrollo_Rural/figuras/fig_01_participacion_pecuaria.png" id="162" name="Picture"/>
                    <pic:cNvPicPr>
                      <a:picLocks noChangeArrowheads="1" noChangeAspect="1"/>
                    </pic:cNvPicPr>
                  </pic:nvPicPr>
                  <pic:blipFill>
                    <a:blip r:embed="rId160"/>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46. Participación pecuaria</w:t>
      </w:r>
    </w:p>
    <w:p>
      <w:pPr>
        <w:pStyle w:val="CaptionedFigure"/>
      </w:pPr>
      <w:r>
        <w:drawing>
          <wp:inline>
            <wp:extent cx="5600700" cy="2941182"/>
            <wp:effectExtent b="0" l="0" r="0" t="0"/>
            <wp:docPr descr="47. Composicion especies" title="" id="164" name="Picture"/>
            <a:graphic>
              <a:graphicData uri="http://schemas.openxmlformats.org/drawingml/2006/picture">
                <pic:pic>
                  <pic:nvPicPr>
                    <pic:cNvPr descr="D:/LAURA/Trabajo/EAFIT/Proyectos/Provincias/git/Proyecto-Provincias-nuevo/03_Outputs/Turistica_Agroecologica/06_Desarrollo_Rural/figuras/fig_02_composicion_especies.png" id="165" name="Picture"/>
                    <pic:cNvPicPr>
                      <a:picLocks noChangeArrowheads="1" noChangeAspect="1"/>
                    </pic:cNvPicPr>
                  </pic:nvPicPr>
                  <pic:blipFill>
                    <a:blip r:embed="rId163"/>
                    <a:stretch>
                      <a:fillRect/>
                    </a:stretch>
                  </pic:blipFill>
                  <pic:spPr bwMode="auto">
                    <a:xfrm>
                      <a:off x="0" y="0"/>
                      <a:ext cx="5600700" cy="2941182"/>
                    </a:xfrm>
                    <a:prstGeom prst="rect">
                      <a:avLst/>
                    </a:prstGeom>
                    <a:noFill/>
                    <a:ln w="9525">
                      <a:noFill/>
                      <a:headEnd/>
                      <a:tailEnd/>
                    </a:ln>
                  </pic:spPr>
                </pic:pic>
              </a:graphicData>
            </a:graphic>
          </wp:inline>
        </w:drawing>
      </w:r>
    </w:p>
    <w:p>
      <w:pPr>
        <w:pStyle w:val="ImageCaption"/>
      </w:pPr>
      <w:r>
        <w:t xml:space="preserve">47. Composicion especies</w:t>
      </w:r>
    </w:p>
    <w:p>
      <w:pPr>
        <w:pStyle w:val="CaptionedFigure"/>
      </w:pPr>
      <w:r>
        <w:drawing>
          <wp:inline>
            <wp:extent cx="5600700" cy="2941182"/>
            <wp:effectExtent b="0" l="0" r="0" t="0"/>
            <wp:docPr descr="48. Composicion agrícola" title="" id="167" name="Picture"/>
            <a:graphic>
              <a:graphicData uri="http://schemas.openxmlformats.org/drawingml/2006/picture">
                <pic:pic>
                  <pic:nvPicPr>
                    <pic:cNvPr descr="D:/LAURA/Trabajo/EAFIT/Proyectos/Provincias/git/Proyecto-Provincias-nuevo/03_Outputs/Turistica_Agroecologica/06_Desarrollo_Rural/figuras/fig_03_composicion_agricola.png" id="168" name="Picture"/>
                    <pic:cNvPicPr>
                      <a:picLocks noChangeArrowheads="1" noChangeAspect="1"/>
                    </pic:cNvPicPr>
                  </pic:nvPicPr>
                  <pic:blipFill>
                    <a:blip r:embed="rId166"/>
                    <a:stretch>
                      <a:fillRect/>
                    </a:stretch>
                  </pic:blipFill>
                  <pic:spPr bwMode="auto">
                    <a:xfrm>
                      <a:off x="0" y="0"/>
                      <a:ext cx="5600700" cy="2941182"/>
                    </a:xfrm>
                    <a:prstGeom prst="rect">
                      <a:avLst/>
                    </a:prstGeom>
                    <a:noFill/>
                    <a:ln w="9525">
                      <a:noFill/>
                      <a:headEnd/>
                      <a:tailEnd/>
                    </a:ln>
                  </pic:spPr>
                </pic:pic>
              </a:graphicData>
            </a:graphic>
          </wp:inline>
        </w:drawing>
      </w:r>
    </w:p>
    <w:p>
      <w:pPr>
        <w:pStyle w:val="ImageCaption"/>
      </w:pPr>
      <w:r>
        <w:t xml:space="preserve">48. Composicion agrícola</w:t>
      </w:r>
    </w:p>
    <w:p>
      <w:pPr>
        <w:pStyle w:val="CaptionedFigure"/>
      </w:pPr>
      <w:r>
        <w:drawing>
          <wp:inline>
            <wp:extent cx="5600700" cy="2748464"/>
            <wp:effectExtent b="0" l="0" r="0" t="0"/>
            <wp:docPr descr="49. Participación producción" title="" id="170" name="Picture"/>
            <a:graphic>
              <a:graphicData uri="http://schemas.openxmlformats.org/drawingml/2006/picture">
                <pic:pic>
                  <pic:nvPicPr>
                    <pic:cNvPr descr="D:/LAURA/Trabajo/EAFIT/Proyectos/Provincias/git/Proyecto-Provincias-nuevo/03_Outputs/Turistica_Agroecologica/06_Desarrollo_Rural/figuras/fig_04_participacion_produccion.png" id="171" name="Picture"/>
                    <pic:cNvPicPr>
                      <a:picLocks noChangeArrowheads="1" noChangeAspect="1"/>
                    </pic:cNvPicPr>
                  </pic:nvPicPr>
                  <pic:blipFill>
                    <a:blip r:embed="rId16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49. Participación producción</w:t>
      </w:r>
    </w:p>
    <w:p>
      <w:pPr>
        <w:pStyle w:val="CaptionedFigure"/>
      </w:pPr>
      <w:r>
        <w:drawing>
          <wp:inline>
            <wp:extent cx="5600700" cy="2748464"/>
            <wp:effectExtent b="0" l="0" r="0" t="0"/>
            <wp:docPr descr="50. Rendimiento agrícola" title="" id="173" name="Picture"/>
            <a:graphic>
              <a:graphicData uri="http://schemas.openxmlformats.org/drawingml/2006/picture">
                <pic:pic>
                  <pic:nvPicPr>
                    <pic:cNvPr descr="D:/LAURA/Trabajo/EAFIT/Proyectos/Provincias/git/Proyecto-Provincias-nuevo/03_Outputs/Turistica_Agroecologica/06_Desarrollo_Rural/figuras/fig_05_rendimiento_agricola.png" id="174" name="Picture"/>
                    <pic:cNvPicPr>
                      <a:picLocks noChangeArrowheads="1" noChangeAspect="1"/>
                    </pic:cNvPicPr>
                  </pic:nvPicPr>
                  <pic:blipFill>
                    <a:blip r:embed="rId172"/>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50. Rendimiento agrícola</w:t>
      </w:r>
    </w:p>
    <w:bookmarkEnd w:id="175"/>
    <w:bookmarkStart w:id="202" w:name="ambiental"/>
    <w:p>
      <w:pPr>
        <w:pStyle w:val="Heading3"/>
      </w:pPr>
      <w:r>
        <w:t xml:space="preserve">Ambiental</w:t>
      </w:r>
    </w:p>
    <w:p>
      <w:pPr>
        <w:pStyle w:val="FirstParagraph"/>
      </w:pPr>
      <w:r>
        <w:t xml:space="preserve">La dimensión ambiental de la Provincia Turística y Agroecológica se lee en dos registros: los activos naturales que conserva —áreas protegidas, cobertura arbórea, agua— y las presiones que los amenazan, desde la deforestación hasta el riesgo de desastres. Ambos son, además, condicionantes del ordenamiento y de la actividad productiva descrita en las secciones anteriores.</w:t>
      </w:r>
    </w:p>
    <w:bookmarkStart w:id="176" w:name="recursos-naturales"/>
    <w:p>
      <w:pPr>
        <w:pStyle w:val="Heading4"/>
      </w:pPr>
      <w:r>
        <w:t xml:space="preserve">Recursos naturales</w:t>
      </w:r>
    </w:p>
    <w:p>
      <w:pPr>
        <w:pStyle w:val="FirstParagraph"/>
      </w:pPr>
      <w:r>
        <w:t xml:space="preserve">Las áreas protegidas cubren 83 km² del territorio de la Provincia, el 6,3 % de su superficie, repartidas en 7 registros. La mayor extensión protegida corresponde a Sabanalarga (26 km²). La figura de protección más frecuente es «Distritos Regionales de Manejo Integrado».</w:t>
      </w:r>
    </w:p>
    <w:p>
      <w:pPr>
        <w:pStyle w:val="BodyText"/>
      </w:pPr>
      <w:r>
        <w:t xml:space="preserve">En calidad del agua para consumo humano, el IRCA de 2024 registra los niveles de riesgo más altos en Giraldo (16,70) y San Jerónimo (10,40) y los más bajos en Buriticá (0,30) y Olaya (1,50); en este índice un valor mayor significa peor calidad. El promedio provincial es de 6,73. El agua potable es el eslabón donde convergen la dispersión rural, la capacidad institucional del municipio y el déficit cualitativo de vivienda: los tres se manifiestan en el mismo indicador.</w:t>
      </w:r>
    </w:p>
    <w:p>
      <w:pPr>
        <w:pStyle w:val="BlockText"/>
      </w:pPr>
      <w:r>
        <w:rPr>
          <w:b/>
          <w:bCs/>
        </w:rPr>
        <w:t xml:space="preserve">Verificar con el equipo</w:t>
      </w:r>
      <w:r>
        <w:t xml:space="preserve"> </w:t>
      </w:r>
      <w:r>
        <w:t xml:space="preserve">— qué autoridad ambiental tiene jurisdicción sobre cada municipio y qué instrumentos de manejo —POMCA, planes de manejo de áreas protegidas— están vigentes, para saber sobre qué marco puede apoyarse el Plan.</w:t>
      </w:r>
    </w:p>
    <w:bookmarkEnd w:id="176"/>
    <w:bookmarkStart w:id="201" w:name="Xeddf2fa5e3d175d8bc8793940f0b8d29eb2e692"/>
    <w:p>
      <w:pPr>
        <w:pStyle w:val="Heading4"/>
      </w:pPr>
      <w:r>
        <w:t xml:space="preserve">Sostenibilidad ambiental y cambio climático</w:t>
      </w:r>
    </w:p>
    <w:p>
      <w:pPr>
        <w:pStyle w:val="FirstParagraph"/>
      </w:pPr>
      <w:r>
        <w:t xml:space="preserve">La pérdida de cobertura arbórea entre 2001 y 2023 se concentra en Ebéjico (4,7 %), Heliconia (4,6 %) y San Jerónimo (4,6 %). El promedio provincial es del 3,6 %, por debajo del departamento (9,3 %), con una diferencia de 5,7 puntos porcentuales. En el mapa, los 3 municipios con los valores más altos forman una mancha contigua.</w:t>
      </w:r>
    </w:p>
    <w:p>
      <w:pPr>
        <w:pStyle w:val="BodyText"/>
      </w:pPr>
      <w:r>
        <w:t xml:space="preserve">El Índice Municipal de Riesgo ajustado por capacidades distingue dos amenazas climáticas opuestas. Por exceso de lluvias, los municipios más expuestos son Sabanalarga (64,00) y Buriticá (58,89); por déficit, Ebéjico (41,82) y Sabanalarga (27,42). Que un mismo territorio aparezca en ambos extremos no es contradictorio: la variabilidad climática se manifiesta en las dos direcciones y exige medidas de adaptación distintas.</w:t>
      </w:r>
    </w:p>
    <w:p>
      <w:pPr>
        <w:pStyle w:val="BodyText"/>
      </w:pPr>
      <w:r>
        <w:t xml:space="preserve">En materia de desastres, la emergencia más prevalente es movimiento en masa en 5 de los 7 municipios de la Provincia. Conocer cuál predomina importa porque orienta la inversión en gestión del riesgo hacia un tipo de obra y de sistema de alerta y no hacia otro.</w:t>
      </w:r>
    </w:p>
    <w:p>
      <w:pPr>
        <w:pStyle w:val="BodyText"/>
      </w:pPr>
      <w:r>
        <w:t xml:space="preserve">El registro de emergencias muestra la exposición efectiva, no solo la potencial. Entre 2019 y 2024 la Provincia acumuló 149 eventos, con el máximo en 2022 (54 eventos) y el mínimo en 2019 (9). La serie es corta y depende de la capacidad de reporte de cada municipio, de modo que un año con pocos registros no significa necesariamente un año tranquilo.</w:t>
      </w:r>
    </w:p>
    <w:p>
      <w:pPr>
        <w:pStyle w:val="BlockText"/>
      </w:pPr>
      <w:r>
        <w:rPr>
          <w:b/>
          <w:bCs/>
        </w:rPr>
        <w:t xml:space="preserve">Verificar con el equipo</w:t>
      </w:r>
      <w:r>
        <w:t xml:space="preserve"> </w:t>
      </w:r>
      <w:r>
        <w:t xml:space="preserve">— qué explica la pérdida de cobertura en los municipios donde se concentra —frontera agropecuaria, minería, cultivos de uso ilícito, infraestructura— y si existen procesos de restauración en curso.</w:t>
      </w:r>
    </w:p>
    <w:p>
      <w:pPr>
        <w:pStyle w:val="CaptionedFigure"/>
      </w:pPr>
      <w:r>
        <w:drawing>
          <wp:inline>
            <wp:extent cx="5600700" cy="3851407"/>
            <wp:effectExtent b="0" l="0" r="0" t="0"/>
            <wp:docPr descr="51. Pérdida cobertura" title="" id="178" name="Picture"/>
            <a:graphic>
              <a:graphicData uri="http://schemas.openxmlformats.org/drawingml/2006/picture">
                <pic:pic>
                  <pic:nvPicPr>
                    <pic:cNvPr descr="D:/LAURA/Trabajo/EAFIT/Proyectos/Provincias/git/Proyecto-Provincias-nuevo/03_Outputs/Turistica_Agroecologica/07_Ambiental/figuras/mapa_07_perdida_cobertura.png" id="179" name="Picture"/>
                    <pic:cNvPicPr>
                      <a:picLocks noChangeArrowheads="1" noChangeAspect="1"/>
                    </pic:cNvPicPr>
                  </pic:nvPicPr>
                  <pic:blipFill>
                    <a:blip r:embed="rId177"/>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51. Pérdida cobertura</w:t>
      </w:r>
    </w:p>
    <w:p>
      <w:pPr>
        <w:pStyle w:val="CaptionedFigure"/>
      </w:pPr>
      <w:r>
        <w:drawing>
          <wp:inline>
            <wp:extent cx="5600700" cy="2555745"/>
            <wp:effectExtent b="0" l="0" r="0" t="0"/>
            <wp:docPr descr="52. Areas protegidas" title="" id="181" name="Picture"/>
            <a:graphic>
              <a:graphicData uri="http://schemas.openxmlformats.org/drawingml/2006/picture">
                <pic:pic>
                  <pic:nvPicPr>
                    <pic:cNvPr descr="D:/LAURA/Trabajo/EAFIT/Proyectos/Provincias/git/Proyecto-Provincias-nuevo/03_Outputs/Turistica_Agroecologica/07_Ambiental/figuras/fig_01_areas_protegidas.png" id="182" name="Picture"/>
                    <pic:cNvPicPr>
                      <a:picLocks noChangeArrowheads="1" noChangeAspect="1"/>
                    </pic:cNvPicPr>
                  </pic:nvPicPr>
                  <pic:blipFill>
                    <a:blip r:embed="rId180"/>
                    <a:stretch>
                      <a:fillRect/>
                    </a:stretch>
                  </pic:blipFill>
                  <pic:spPr bwMode="auto">
                    <a:xfrm>
                      <a:off x="0" y="0"/>
                      <a:ext cx="5600700" cy="2555745"/>
                    </a:xfrm>
                    <a:prstGeom prst="rect">
                      <a:avLst/>
                    </a:prstGeom>
                    <a:noFill/>
                    <a:ln w="9525">
                      <a:noFill/>
                      <a:headEnd/>
                      <a:tailEnd/>
                    </a:ln>
                  </pic:spPr>
                </pic:pic>
              </a:graphicData>
            </a:graphic>
          </wp:inline>
        </w:drawing>
      </w:r>
    </w:p>
    <w:p>
      <w:pPr>
        <w:pStyle w:val="ImageCaption"/>
      </w:pPr>
      <w:r>
        <w:t xml:space="preserve">52. Areas protegidas</w:t>
      </w:r>
    </w:p>
    <w:p>
      <w:pPr>
        <w:pStyle w:val="CaptionedFigure"/>
      </w:pPr>
      <w:r>
        <w:drawing>
          <wp:inline>
            <wp:extent cx="5600700" cy="2748464"/>
            <wp:effectExtent b="0" l="0" r="0" t="0"/>
            <wp:docPr descr="53. IRCA" title="" id="184" name="Picture"/>
            <a:graphic>
              <a:graphicData uri="http://schemas.openxmlformats.org/drawingml/2006/picture">
                <pic:pic>
                  <pic:nvPicPr>
                    <pic:cNvPr descr="D:/LAURA/Trabajo/EAFIT/Proyectos/Provincias/git/Proyecto-Provincias-nuevo/03_Outputs/Turistica_Agroecologica/07_Ambiental/figuras/fig_02_irca.png" id="185" name="Picture"/>
                    <pic:cNvPicPr>
                      <a:picLocks noChangeArrowheads="1" noChangeAspect="1"/>
                    </pic:cNvPicPr>
                  </pic:nvPicPr>
                  <pic:blipFill>
                    <a:blip r:embed="rId18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53. IRCA</w:t>
      </w:r>
    </w:p>
    <w:p>
      <w:pPr>
        <w:pStyle w:val="CaptionedFigure"/>
      </w:pPr>
      <w:r>
        <w:drawing>
          <wp:inline>
            <wp:extent cx="5600700" cy="2798867"/>
            <wp:effectExtent b="0" l="0" r="0" t="0"/>
            <wp:docPr descr="54. IRCA evolucion" title="" id="187" name="Picture"/>
            <a:graphic>
              <a:graphicData uri="http://schemas.openxmlformats.org/drawingml/2006/picture">
                <pic:pic>
                  <pic:nvPicPr>
                    <pic:cNvPr descr="D:/LAURA/Trabajo/EAFIT/Proyectos/Provincias/git/Proyecto-Provincias-nuevo/03_Outputs/Turistica_Agroecologica/07_Ambiental/figuras/fig_03_irca_evolucion.png" id="188" name="Picture"/>
                    <pic:cNvPicPr>
                      <a:picLocks noChangeArrowheads="1" noChangeAspect="1"/>
                    </pic:cNvPicPr>
                  </pic:nvPicPr>
                  <pic:blipFill>
                    <a:blip r:embed="rId186"/>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54. IRCA evolucion</w:t>
      </w:r>
    </w:p>
    <w:p>
      <w:pPr>
        <w:pStyle w:val="CaptionedFigure"/>
      </w:pPr>
      <w:r>
        <w:drawing>
          <wp:inline>
            <wp:extent cx="5600700" cy="2748464"/>
            <wp:effectExtent b="0" l="0" r="0" t="0"/>
            <wp:docPr descr="55. Pérdida cobertura" title="" id="190" name="Picture"/>
            <a:graphic>
              <a:graphicData uri="http://schemas.openxmlformats.org/drawingml/2006/picture">
                <pic:pic>
                  <pic:nvPicPr>
                    <pic:cNvPr descr="D:/LAURA/Trabajo/EAFIT/Proyectos/Provincias/git/Proyecto-Provincias-nuevo/03_Outputs/Turistica_Agroecologica/07_Ambiental/figuras/fig_04_perdida_cobertura.png" id="191" name="Picture"/>
                    <pic:cNvPicPr>
                      <a:picLocks noChangeArrowheads="1" noChangeAspect="1"/>
                    </pic:cNvPicPr>
                  </pic:nvPicPr>
                  <pic:blipFill>
                    <a:blip r:embed="rId18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55. Pérdida cobertura</w:t>
      </w:r>
    </w:p>
    <w:p>
      <w:pPr>
        <w:pStyle w:val="CaptionedFigure"/>
      </w:pPr>
      <w:r>
        <w:drawing>
          <wp:inline>
            <wp:extent cx="5600700" cy="3519338"/>
            <wp:effectExtent b="0" l="0" r="0" t="0"/>
            <wp:docPr descr="56. Desastres tipo" title="" id="193" name="Picture"/>
            <a:graphic>
              <a:graphicData uri="http://schemas.openxmlformats.org/drawingml/2006/picture">
                <pic:pic>
                  <pic:nvPicPr>
                    <pic:cNvPr descr="D:/LAURA/Trabajo/EAFIT/Proyectos/Provincias/git/Proyecto-Provincias-nuevo/03_Outputs/Turistica_Agroecologica/07_Ambiental/figuras/fig_05_desastres_tipo.png" id="194" name="Picture"/>
                    <pic:cNvPicPr>
                      <a:picLocks noChangeArrowheads="1" noChangeAspect="1"/>
                    </pic:cNvPicPr>
                  </pic:nvPicPr>
                  <pic:blipFill>
                    <a:blip r:embed="rId192"/>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56. Desastres tipo</w:t>
      </w:r>
    </w:p>
    <w:p>
      <w:pPr>
        <w:pStyle w:val="CaptionedFigure"/>
      </w:pPr>
      <w:r>
        <w:drawing>
          <wp:inline>
            <wp:extent cx="5600700" cy="2798867"/>
            <wp:effectExtent b="0" l="0" r="0" t="0"/>
            <wp:docPr descr="57. Eventos anio" title="" id="196" name="Picture"/>
            <a:graphic>
              <a:graphicData uri="http://schemas.openxmlformats.org/drawingml/2006/picture">
                <pic:pic>
                  <pic:nvPicPr>
                    <pic:cNvPr descr="D:/LAURA/Trabajo/EAFIT/Proyectos/Provincias/git/Proyecto-Provincias-nuevo/03_Outputs/Turistica_Agroecologica/07_Ambiental/figuras/fig_06_eventos_anio.png" id="197" name="Picture"/>
                    <pic:cNvPicPr>
                      <a:picLocks noChangeArrowheads="1" noChangeAspect="1"/>
                    </pic:cNvPicPr>
                  </pic:nvPicPr>
                  <pic:blipFill>
                    <a:blip r:embed="rId19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57. Eventos anio</w:t>
      </w:r>
    </w:p>
    <w:p>
      <w:pPr>
        <w:pStyle w:val="CaptionedFigure"/>
      </w:pPr>
      <w:r>
        <w:drawing>
          <wp:inline>
            <wp:extent cx="5600700" cy="2748464"/>
            <wp:effectExtent b="0" l="0" r="0" t="0"/>
            <wp:docPr descr="58. IMRC" title="" id="199" name="Picture"/>
            <a:graphic>
              <a:graphicData uri="http://schemas.openxmlformats.org/drawingml/2006/picture">
                <pic:pic>
                  <pic:nvPicPr>
                    <pic:cNvPr descr="D:/LAURA/Trabajo/EAFIT/Proyectos/Provincias/git/Proyecto-Provincias-nuevo/03_Outputs/Turistica_Agroecologica/07_Ambiental/figuras/fig_07_imrc.png" id="200" name="Picture"/>
                    <pic:cNvPicPr>
                      <a:picLocks noChangeArrowheads="1" noChangeAspect="1"/>
                    </pic:cNvPicPr>
                  </pic:nvPicPr>
                  <pic:blipFill>
                    <a:blip r:embed="rId198"/>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58. IMRC</w:t>
      </w:r>
    </w:p>
    <w:bookmarkEnd w:id="201"/>
    <w:bookmarkEnd w:id="202"/>
    <w:bookmarkStart w:id="215" w:name="educación"/>
    <w:p>
      <w:pPr>
        <w:pStyle w:val="Heading3"/>
      </w:pPr>
      <w:r>
        <w:t xml:space="preserve">Educación</w:t>
      </w:r>
    </w:p>
    <w:p>
      <w:pPr>
        <w:pStyle w:val="FirstParagraph"/>
      </w:pPr>
      <w:r>
        <w:t xml:space="preserve">La dimensión educativa permite comprender algunas de las condiciones más significativas de desarrollo humano, equidad territorial y competitividad de la Provincia Turística y Agroecológica. En un territorio con alta ruralidad y dispersión poblacional, el acceso, la permanencia y el tránsito efectivo entre niveles son determinantes de las oportunidades de su población, y cada uno se enfrenta a un obstáculo distinto: llegar a la escuela, quedarse en ella y continuar después.</w:t>
      </w:r>
    </w:p>
    <w:p>
      <w:pPr>
        <w:pStyle w:val="BodyText"/>
      </w:pPr>
      <w:r>
        <w:t xml:space="preserve">De acuerdo con la información del Ministerio de Educación Nacional para 2024, la Provincia presenta una cobertura neta del 80,3 %, por debajo del departamento (89,9 %), con una diferencia de 9,6 puntos porcentuales. A escala municipal las diferencias internas son significativas: Giraldo (99,3 %) y San Jerónimo (85,1 %) presentan las coberturas más altas, mientras que Ebéjico (69,9 %), Sabanalarga (74,4 %) y Olaya (76,4 %) registran los niveles más bajos.</w:t>
      </w:r>
    </w:p>
    <w:p>
      <w:pPr>
        <w:pStyle w:val="BodyText"/>
      </w:pPr>
      <w:r>
        <w:t xml:space="preserve">La permanencia cuenta una historia complementaria. La deserción escolar es mayor en Buriticá (8,0 %) y San Jerónimo (7,4 %) y la repitencia en Buriticá (9,6 %) y Olaya (9,3 %), con una deserción provincial del 4,8 %. Cobertura y permanencia no se mueven necesariamente juntas: un municipio puede matricular bien y perder alumnos durante el año, y ese patrón exige una respuesta distinta —transporte, alimentación, acompañamiento— que la de ampliar cupos.</w:t>
      </w:r>
    </w:p>
    <w:p>
      <w:pPr>
        <w:pStyle w:val="BodyText"/>
      </w:pPr>
      <w:r>
        <w:t xml:space="preserve">En el mapa, los 3 municipios con los valores más bajos forman sin vecindad entre sí.</w:t>
      </w:r>
    </w:p>
    <w:p>
      <w:pPr>
        <w:pStyle w:val="BlockText"/>
      </w:pPr>
      <w:r>
        <w:rPr>
          <w:b/>
          <w:bCs/>
        </w:rPr>
        <w:t xml:space="preserve">Verificar con el equipo</w:t>
      </w:r>
      <w:r>
        <w:t xml:space="preserve"> </w:t>
      </w:r>
      <w:r>
        <w:t xml:space="preserve">— la distribución de sedes educativas rurales y la oferta de media técnica en la Provincia. La cobertura dice cuántos están matriculados; no dice a qué distancia queda la sede ni qué se enseña en ella.</w:t>
      </w:r>
    </w:p>
    <w:p>
      <w:pPr>
        <w:pStyle w:val="FirstParagraph"/>
      </w:pPr>
      <w:r>
        <w:rPr>
          <w:b/>
          <w:bCs/>
        </w:rPr>
        <w:t xml:space="preserve">Tabla 4.</w:t>
      </w:r>
      <w:r>
        <w:t xml:space="preserve"> </w:t>
      </w:r>
      <w:r>
        <w:t xml:space="preserve">Indicadores educativos de la Provincia Turística y Agroecológica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Municipio</w:t>
            </w:r>
          </w:p>
        </w:tc>
        <w:tc>
          <w:tcPr/>
          <w:p>
            <w:pPr>
              <w:pStyle w:val="Compact"/>
            </w:pPr>
            <w:r>
              <w:t xml:space="preserve">Cobertura neta</w:t>
            </w:r>
          </w:p>
        </w:tc>
        <w:tc>
          <w:tcPr/>
          <w:p>
            <w:pPr>
              <w:pStyle w:val="Compact"/>
            </w:pPr>
            <w:r>
              <w:t xml:space="preserve">Tasa de deserción</w:t>
            </w:r>
          </w:p>
        </w:tc>
        <w:tc>
          <w:tcPr/>
          <w:p>
            <w:pPr>
              <w:pStyle w:val="Compact"/>
            </w:pPr>
            <w:r>
              <w:t xml:space="preserve">Tasa de repitencia</w:t>
            </w:r>
          </w:p>
        </w:tc>
      </w:tr>
      <w:tr>
        <w:tc>
          <w:tcPr/>
          <w:p>
            <w:pPr>
              <w:pStyle w:val="Compact"/>
            </w:pPr>
            <w:r>
              <w:t xml:space="preserve">Buriticá</w:t>
            </w:r>
          </w:p>
        </w:tc>
        <w:tc>
          <w:tcPr/>
          <w:p>
            <w:pPr>
              <w:pStyle w:val="Compact"/>
            </w:pPr>
            <w:r>
              <w:t xml:space="preserve">80,1 %</w:t>
            </w:r>
          </w:p>
        </w:tc>
        <w:tc>
          <w:tcPr/>
          <w:p>
            <w:pPr>
              <w:pStyle w:val="Compact"/>
            </w:pPr>
            <w:r>
              <w:t xml:space="preserve">8,0 %</w:t>
            </w:r>
          </w:p>
        </w:tc>
        <w:tc>
          <w:tcPr/>
          <w:p>
            <w:pPr>
              <w:pStyle w:val="Compact"/>
            </w:pPr>
            <w:r>
              <w:t xml:space="preserve">9,6 %</w:t>
            </w:r>
          </w:p>
        </w:tc>
      </w:tr>
      <w:tr>
        <w:tc>
          <w:tcPr/>
          <w:p>
            <w:pPr>
              <w:pStyle w:val="Compact"/>
            </w:pPr>
            <w:r>
              <w:t xml:space="preserve">Ebéjico</w:t>
            </w:r>
          </w:p>
        </w:tc>
        <w:tc>
          <w:tcPr/>
          <w:p>
            <w:pPr>
              <w:pStyle w:val="Compact"/>
            </w:pPr>
            <w:r>
              <w:t xml:space="preserve">69,9 %</w:t>
            </w:r>
          </w:p>
        </w:tc>
        <w:tc>
          <w:tcPr/>
          <w:p>
            <w:pPr>
              <w:pStyle w:val="Compact"/>
            </w:pPr>
            <w:r>
              <w:t xml:space="preserve">3,2 %</w:t>
            </w:r>
          </w:p>
        </w:tc>
        <w:tc>
          <w:tcPr/>
          <w:p>
            <w:pPr>
              <w:pStyle w:val="Compact"/>
            </w:pPr>
            <w:r>
              <w:t xml:space="preserve">7,6 %</w:t>
            </w:r>
          </w:p>
        </w:tc>
      </w:tr>
      <w:tr>
        <w:tc>
          <w:tcPr/>
          <w:p>
            <w:pPr>
              <w:pStyle w:val="Compact"/>
            </w:pPr>
            <w:r>
              <w:t xml:space="preserve">Giraldo</w:t>
            </w:r>
          </w:p>
        </w:tc>
        <w:tc>
          <w:tcPr/>
          <w:p>
            <w:pPr>
              <w:pStyle w:val="Compact"/>
            </w:pPr>
            <w:r>
              <w:t xml:space="preserve">99,3 %</w:t>
            </w:r>
          </w:p>
        </w:tc>
        <w:tc>
          <w:tcPr/>
          <w:p>
            <w:pPr>
              <w:pStyle w:val="Compact"/>
            </w:pPr>
            <w:r>
              <w:t xml:space="preserve">4,0 %</w:t>
            </w:r>
          </w:p>
        </w:tc>
        <w:tc>
          <w:tcPr/>
          <w:p>
            <w:pPr>
              <w:pStyle w:val="Compact"/>
            </w:pPr>
            <w:r>
              <w:t xml:space="preserve">8,8 %</w:t>
            </w:r>
          </w:p>
        </w:tc>
      </w:tr>
      <w:tr>
        <w:tc>
          <w:tcPr/>
          <w:p>
            <w:pPr>
              <w:pStyle w:val="Compact"/>
            </w:pPr>
            <w:r>
              <w:t xml:space="preserve">Heliconia</w:t>
            </w:r>
          </w:p>
        </w:tc>
        <w:tc>
          <w:tcPr/>
          <w:p>
            <w:pPr>
              <w:pStyle w:val="Compact"/>
            </w:pPr>
            <w:r>
              <w:t xml:space="preserve">78,6 %</w:t>
            </w:r>
          </w:p>
        </w:tc>
        <w:tc>
          <w:tcPr/>
          <w:p>
            <w:pPr>
              <w:pStyle w:val="Compact"/>
            </w:pPr>
            <w:r>
              <w:t xml:space="preserve">4,9 %</w:t>
            </w:r>
          </w:p>
        </w:tc>
        <w:tc>
          <w:tcPr/>
          <w:p>
            <w:pPr>
              <w:pStyle w:val="Compact"/>
            </w:pPr>
            <w:r>
              <w:t xml:space="preserve">7,0 %</w:t>
            </w:r>
          </w:p>
        </w:tc>
      </w:tr>
      <w:tr>
        <w:tc>
          <w:tcPr/>
          <w:p>
            <w:pPr>
              <w:pStyle w:val="Compact"/>
            </w:pPr>
            <w:r>
              <w:t xml:space="preserve">Olaya</w:t>
            </w:r>
          </w:p>
        </w:tc>
        <w:tc>
          <w:tcPr/>
          <w:p>
            <w:pPr>
              <w:pStyle w:val="Compact"/>
            </w:pPr>
            <w:r>
              <w:t xml:space="preserve">76,4 %</w:t>
            </w:r>
          </w:p>
        </w:tc>
        <w:tc>
          <w:tcPr/>
          <w:p>
            <w:pPr>
              <w:pStyle w:val="Compact"/>
            </w:pPr>
            <w:r>
              <w:t xml:space="preserve">2,5 %</w:t>
            </w:r>
          </w:p>
        </w:tc>
        <w:tc>
          <w:tcPr/>
          <w:p>
            <w:pPr>
              <w:pStyle w:val="Compact"/>
            </w:pPr>
            <w:r>
              <w:t xml:space="preserve">9,3 %</w:t>
            </w:r>
          </w:p>
        </w:tc>
      </w:tr>
      <w:tr>
        <w:tc>
          <w:tcPr/>
          <w:p>
            <w:pPr>
              <w:pStyle w:val="Compact"/>
            </w:pPr>
            <w:r>
              <w:t xml:space="preserve">Sabanalarga</w:t>
            </w:r>
          </w:p>
        </w:tc>
        <w:tc>
          <w:tcPr/>
          <w:p>
            <w:pPr>
              <w:pStyle w:val="Compact"/>
            </w:pPr>
            <w:r>
              <w:t xml:space="preserve">74,4 %</w:t>
            </w:r>
          </w:p>
        </w:tc>
        <w:tc>
          <w:tcPr/>
          <w:p>
            <w:pPr>
              <w:pStyle w:val="Compact"/>
            </w:pPr>
            <w:r>
              <w:t xml:space="preserve">0,6 %</w:t>
            </w:r>
          </w:p>
        </w:tc>
        <w:tc>
          <w:tcPr/>
          <w:p>
            <w:pPr>
              <w:pStyle w:val="Compact"/>
            </w:pPr>
            <w:r>
              <w:t xml:space="preserve">5,5 %</w:t>
            </w:r>
          </w:p>
        </w:tc>
      </w:tr>
      <w:tr>
        <w:tc>
          <w:tcPr/>
          <w:p>
            <w:pPr>
              <w:pStyle w:val="Compact"/>
            </w:pPr>
            <w:r>
              <w:t xml:space="preserve">San Jerónimo</w:t>
            </w:r>
          </w:p>
        </w:tc>
        <w:tc>
          <w:tcPr/>
          <w:p>
            <w:pPr>
              <w:pStyle w:val="Compact"/>
            </w:pPr>
            <w:r>
              <w:t xml:space="preserve">85,1 %</w:t>
            </w:r>
          </w:p>
        </w:tc>
        <w:tc>
          <w:tcPr/>
          <w:p>
            <w:pPr>
              <w:pStyle w:val="Compact"/>
            </w:pPr>
            <w:r>
              <w:t xml:space="preserve">7,4 %</w:t>
            </w:r>
          </w:p>
        </w:tc>
        <w:tc>
          <w:tcPr/>
          <w:p>
            <w:pPr>
              <w:pStyle w:val="Compact"/>
            </w:pPr>
            <w:r>
              <w:t xml:space="preserve">9,2 %</w:t>
            </w:r>
          </w:p>
        </w:tc>
      </w:tr>
      <w:tr>
        <w:tc>
          <w:tcPr/>
          <w:p>
            <w:pPr>
              <w:pStyle w:val="Compact"/>
            </w:pPr>
            <w:r>
              <w:t xml:space="preserve">PROMEDIO PONDERADO PROVINCIA TURÍSTICA Y AGROECOLÓGICA (por población escolar)</w:t>
            </w:r>
          </w:p>
        </w:tc>
        <w:tc>
          <w:tcPr/>
          <w:p>
            <w:pPr>
              <w:pStyle w:val="Compact"/>
            </w:pPr>
            <w:r>
              <w:t xml:space="preserve">80,3 %</w:t>
            </w:r>
          </w:p>
        </w:tc>
        <w:tc>
          <w:tcPr/>
          <w:p>
            <w:pPr>
              <w:pStyle w:val="Compact"/>
            </w:pPr>
            <w:r>
              <w:t xml:space="preserve">4,8 %</w:t>
            </w:r>
          </w:p>
        </w:tc>
        <w:tc>
          <w:tcPr/>
          <w:p>
            <w:pPr>
              <w:pStyle w:val="Compact"/>
            </w:pPr>
            <w:r>
              <w:t xml:space="preserve">8,2 %</w:t>
            </w:r>
          </w:p>
        </w:tc>
      </w:tr>
      <w:tr>
        <w:tc>
          <w:tcPr/>
          <w:p>
            <w:pPr>
              <w:pStyle w:val="Compact"/>
            </w:pPr>
            <w:r>
              <w:t xml:space="preserve">PROMEDIO PONDERADO SUBREGIÓN OCCIDENTE (por población escolar)</w:t>
            </w:r>
          </w:p>
        </w:tc>
        <w:tc>
          <w:tcPr/>
          <w:p>
            <w:pPr>
              <w:pStyle w:val="Compact"/>
            </w:pPr>
            <w:r>
              <w:t xml:space="preserve">80,7 %</w:t>
            </w:r>
          </w:p>
        </w:tc>
        <w:tc>
          <w:tcPr/>
          <w:p>
            <w:pPr>
              <w:pStyle w:val="Compact"/>
            </w:pPr>
            <w:r>
              <w:t xml:space="preserve">3,9 %</w:t>
            </w:r>
          </w:p>
        </w:tc>
        <w:tc>
          <w:tcPr/>
          <w:p>
            <w:pPr>
              <w:pStyle w:val="Compact"/>
            </w:pPr>
            <w:r>
              <w:t xml:space="preserve">10,0 %</w:t>
            </w:r>
          </w:p>
        </w:tc>
      </w:tr>
      <w:tr>
        <w:tc>
          <w:tcPr/>
          <w:p>
            <w:pPr>
              <w:pStyle w:val="Compact"/>
            </w:pPr>
            <w:r>
              <w:t xml:space="preserve">PROMEDIO PONDERADO DEPARTAMENTO (ANTIOQUIA) (por población escolar)</w:t>
            </w:r>
          </w:p>
        </w:tc>
        <w:tc>
          <w:tcPr/>
          <w:p>
            <w:pPr>
              <w:pStyle w:val="Compact"/>
            </w:pPr>
            <w:r>
              <w:t xml:space="preserve">89,9 %</w:t>
            </w:r>
          </w:p>
        </w:tc>
        <w:tc>
          <w:tcPr/>
          <w:p>
            <w:pPr>
              <w:pStyle w:val="Compact"/>
            </w:pPr>
            <w:r>
              <w:t xml:space="preserve">3,8 %</w:t>
            </w:r>
          </w:p>
        </w:tc>
        <w:tc>
          <w:tcPr/>
          <w:p>
            <w:pPr>
              <w:pStyle w:val="Compact"/>
            </w:pPr>
            <w:r>
              <w:t xml:space="preserve">9,3 %</w:t>
            </w:r>
          </w:p>
        </w:tc>
      </w:tr>
    </w:tbl>
    <w:p>
      <w:pPr>
        <w:pStyle w:val="BodyText"/>
      </w:pPr>
      <w:r>
        <w:rPr>
          <w:i/>
          <w:iCs/>
        </w:rPr>
        <w:t xml:space="preserve">Fuente: Ministerio de Educación Nacional. Cálculos propios.</w:t>
      </w:r>
    </w:p>
    <w:p>
      <w:pPr>
        <w:pStyle w:val="CaptionedFigure"/>
      </w:pPr>
      <w:r>
        <w:drawing>
          <wp:inline>
            <wp:extent cx="5600700" cy="3851407"/>
            <wp:effectExtent b="0" l="0" r="0" t="0"/>
            <wp:docPr descr="59. Cobertura neta" title="" id="204" name="Picture"/>
            <a:graphic>
              <a:graphicData uri="http://schemas.openxmlformats.org/drawingml/2006/picture">
                <pic:pic>
                  <pic:nvPicPr>
                    <pic:cNvPr descr="D:/LAURA/Trabajo/EAFIT/Proyectos/Provincias/git/Proyecto-Provincias-nuevo/03_Outputs/Turistica_Agroecologica/08_Educacion/figuras/mapa_08_cobertura_neta.png" id="205" name="Picture"/>
                    <pic:cNvPicPr>
                      <a:picLocks noChangeArrowheads="1" noChangeAspect="1"/>
                    </pic:cNvPicPr>
                  </pic:nvPicPr>
                  <pic:blipFill>
                    <a:blip r:embed="rId203"/>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59. Cobertura neta</w:t>
      </w:r>
    </w:p>
    <w:p>
      <w:pPr>
        <w:pStyle w:val="CaptionedFigure"/>
      </w:pPr>
      <w:r>
        <w:drawing>
          <wp:inline>
            <wp:extent cx="5600700" cy="2748464"/>
            <wp:effectExtent b="0" l="0" r="0" t="0"/>
            <wp:docPr descr="60. Cobertura neta" title="" id="207" name="Picture"/>
            <a:graphic>
              <a:graphicData uri="http://schemas.openxmlformats.org/drawingml/2006/picture">
                <pic:pic>
                  <pic:nvPicPr>
                    <pic:cNvPr descr="D:/LAURA/Trabajo/EAFIT/Proyectos/Provincias/git/Proyecto-Provincias-nuevo/03_Outputs/Turistica_Agroecologica/08_Educacion/figuras/fig_01_cobertura_neta.png" id="208" name="Picture"/>
                    <pic:cNvPicPr>
                      <a:picLocks noChangeArrowheads="1" noChangeAspect="1"/>
                    </pic:cNvPicPr>
                  </pic:nvPicPr>
                  <pic:blipFill>
                    <a:blip r:embed="rId20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60. Cobertura neta</w:t>
      </w:r>
    </w:p>
    <w:p>
      <w:pPr>
        <w:pStyle w:val="CaptionedFigure"/>
      </w:pPr>
      <w:r>
        <w:drawing>
          <wp:inline>
            <wp:extent cx="5600700" cy="2748464"/>
            <wp:effectExtent b="0" l="0" r="0" t="0"/>
            <wp:docPr descr="61. Deserción escolar" title="" id="210" name="Picture"/>
            <a:graphic>
              <a:graphicData uri="http://schemas.openxmlformats.org/drawingml/2006/picture">
                <pic:pic>
                  <pic:nvPicPr>
                    <pic:cNvPr descr="D:/LAURA/Trabajo/EAFIT/Proyectos/Provincias/git/Proyecto-Provincias-nuevo/03_Outputs/Turistica_Agroecologica/08_Educacion/figuras/fig_02_desercion_escolar.png" id="211" name="Picture"/>
                    <pic:cNvPicPr>
                      <a:picLocks noChangeArrowheads="1" noChangeAspect="1"/>
                    </pic:cNvPicPr>
                  </pic:nvPicPr>
                  <pic:blipFill>
                    <a:blip r:embed="rId20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61. Deserción escolar</w:t>
      </w:r>
    </w:p>
    <w:p>
      <w:pPr>
        <w:pStyle w:val="CaptionedFigure"/>
      </w:pPr>
      <w:r>
        <w:drawing>
          <wp:inline>
            <wp:extent cx="5600700" cy="2748464"/>
            <wp:effectExtent b="0" l="0" r="0" t="0"/>
            <wp:docPr descr="62. Repitencia escolar" title="" id="213" name="Picture"/>
            <a:graphic>
              <a:graphicData uri="http://schemas.openxmlformats.org/drawingml/2006/picture">
                <pic:pic>
                  <pic:nvPicPr>
                    <pic:cNvPr descr="D:/LAURA/Trabajo/EAFIT/Proyectos/Provincias/git/Proyecto-Provincias-nuevo/03_Outputs/Turistica_Agroecologica/08_Educacion/figuras/fig_03_repitencia_escolar.png" id="214" name="Picture"/>
                    <pic:cNvPicPr>
                      <a:picLocks noChangeArrowheads="1" noChangeAspect="1"/>
                    </pic:cNvPicPr>
                  </pic:nvPicPr>
                  <pic:blipFill>
                    <a:blip r:embed="rId212"/>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62. Repitencia escolar</w:t>
      </w:r>
    </w:p>
    <w:bookmarkEnd w:id="215"/>
    <w:bookmarkStart w:id="231" w:name="salud"/>
    <w:p>
      <w:pPr>
        <w:pStyle w:val="Heading3"/>
      </w:pPr>
      <w:r>
        <w:t xml:space="preserve">Salud</w:t>
      </w:r>
    </w:p>
    <w:p>
      <w:pPr>
        <w:pStyle w:val="FirstParagraph"/>
      </w:pPr>
      <w:r>
        <w:t xml:space="preserve">El aseguramiento en salud de la Provincia se apoya mayoritariamente en el régimen subsidiado, que concentra el 74,3 % de los afiliados frente al 22,4 % del contributivo. Esa composición no es un dato del sector salud sino un reflejo directo de la estructura del empleo descrita en la sección de economía: donde la informalidad es alta, el aseguramiento es subsidiado, y el sistema de salud local depende de transferencias antes que de cotizaciones. Corte: diciembre de 2025.</w:t>
      </w:r>
    </w:p>
    <w:p>
      <w:pPr>
        <w:pStyle w:val="BodyText"/>
      </w:pPr>
      <w:r>
        <w:t xml:space="preserve">En 2024, la mortalidad infantil registra sus valores más altos en Heliconia (62,50) y Giraldo (16,95), con una tasa provincial de 9,59 por cada mil nacidos vivos, por encima del departamento (8,64), con una diferencia de 11 %. Conviene leer esta cifra con cuidado: en municipios con pocos nacimientos la tasa se mueve mucho con un solo caso, de modo que un valor alto en un año no constituye una tendencia.</w:t>
      </w:r>
    </w:p>
    <w:p>
      <w:pPr>
        <w:pStyle w:val="BodyText"/>
      </w:pPr>
      <w:r>
        <w:t xml:space="preserve">El bajo peso al nacer, que anticipa buena parte de la trayectoria de salud posterior, afecta al 10,2 % de los nacimientos de la Provincia y alcanza sus valores más altos en Heliconia (24,0 %) y Ebéjico (14,3 %). Es un indicador de nutrición y de control prenatal, de modo que conecta la salud con las condiciones materiales descritas en la sección de economía.</w:t>
      </w:r>
    </w:p>
    <w:p>
      <w:pPr>
        <w:pStyle w:val="BodyText"/>
      </w:pPr>
      <w:r>
        <w:t xml:space="preserve">Entre las enfermedades transmitidas por vectores, el dengue registra una tasa provincial de 11,58 por cada cien mil habitantes, con sus valores más altos en Olaya (70,88) y Buriticá (20,15) y la malaria, de 3,04 sobre la misma base, encabezada por San Jerónimo (7,69) y Ebéjico (5,29). Son sensibles al clima y a las condiciones de la vivienda y el saneamiento, lo que las convierte en un indicador cruzado entre la sección ambiental y la de ordenamiento.</w:t>
      </w:r>
    </w:p>
    <w:p>
      <w:pPr>
        <w:pStyle w:val="BodyText"/>
      </w:pPr>
      <w:r>
        <w:t xml:space="preserve">La leishmaniasis se mide sobre población</w:t>
      </w:r>
      <w:r>
        <w:t xml:space="preserve"> </w:t>
      </w:r>
      <w:r>
        <w:rPr>
          <w:b/>
          <w:bCs/>
        </w:rPr>
        <w:t xml:space="preserve">rural</w:t>
      </w:r>
      <w:r>
        <w:t xml:space="preserve"> </w:t>
      </w:r>
      <w:r>
        <w:t xml:space="preserve">y no sobre la total, de modo que su tasa no es comparable con las dos anteriores. En la Provincia alcanza 60,09 por cada cien mil habitantes rurales, con los valores más altos en Buriticá (201,09) y Sabanalarga (105,94).</w:t>
      </w:r>
    </w:p>
    <w:p>
      <w:pPr>
        <w:pStyle w:val="BodyText"/>
      </w:pPr>
      <w:r>
        <w:t xml:space="preserve">En salud mental, la tasa de intento de suicidio de la Provincia es de 54,83 por cada cien mil habitantes, con los valores más altos en Olaya (107,18) y Giraldo (74,07). Es el indicador con mayor subregistro de esta sección y conviene presentarlo como una cota inferior.</w:t>
      </w:r>
    </w:p>
    <w:p>
      <w:pPr>
        <w:pStyle w:val="BlockText"/>
      </w:pPr>
      <w:r>
        <w:rPr>
          <w:b/>
          <w:bCs/>
        </w:rPr>
        <w:t xml:space="preserve">Verificar con el equipo</w:t>
      </w:r>
      <w:r>
        <w:t xml:space="preserve"> </w:t>
      </w:r>
      <w:r>
        <w:t xml:space="preserve">— la red de prestación de servicios disponible en la Provincia —nivel de complejidad de las IPS, tiempos de traslado al hospital de referencia— y el estado financiero de las ESE municipales. Los indicadores de resultado no dicen con qué capacidad instalada se obtuvieron.</w:t>
      </w:r>
    </w:p>
    <w:p>
      <w:pPr>
        <w:pStyle w:val="FirstParagraph"/>
      </w:pPr>
      <w:r>
        <w:rPr>
          <w:b/>
          <w:bCs/>
        </w:rPr>
        <w:t xml:space="preserve">Tabla 5.</w:t>
      </w:r>
      <w:r>
        <w:t xml:space="preserve"> </w:t>
      </w:r>
      <w:r>
        <w:t xml:space="preserve">Mortalidad infantil en la Provincia Turística y Agroecológica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Año</w:t>
            </w:r>
          </w:p>
        </w:tc>
        <w:tc>
          <w:tcPr/>
          <w:p>
            <w:pPr>
              <w:pStyle w:val="Compact"/>
            </w:pPr>
            <w:r>
              <w:t xml:space="preserve">Tasa de mortalidad infantil (x 1.000 nacidos vivos)</w:t>
            </w:r>
          </w:p>
        </w:tc>
      </w:tr>
      <w:tr>
        <w:tc>
          <w:tcPr/>
          <w:p>
            <w:pPr>
              <w:pStyle w:val="Compact"/>
            </w:pPr>
            <w:r>
              <w:t xml:space="preserve">Buriticá</w:t>
            </w:r>
          </w:p>
        </w:tc>
        <w:tc>
          <w:tcPr/>
          <w:p>
            <w:pPr>
              <w:pStyle w:val="Compact"/>
            </w:pPr>
            <w:r>
              <w:t xml:space="preserve">2.024</w:t>
            </w:r>
          </w:p>
        </w:tc>
        <w:tc>
          <w:tcPr/>
          <w:p>
            <w:pPr>
              <w:pStyle w:val="Compact"/>
            </w:pPr>
            <w:r>
              <w:t xml:space="preserve">9,90</w:t>
            </w:r>
          </w:p>
        </w:tc>
      </w:tr>
      <w:tr>
        <w:tc>
          <w:tcPr/>
          <w:p>
            <w:pPr>
              <w:pStyle w:val="Compact"/>
            </w:pPr>
            <w:r>
              <w:t xml:space="preserve">Ebéjico</w:t>
            </w:r>
          </w:p>
        </w:tc>
        <w:tc>
          <w:tcPr/>
          <w:p>
            <w:pPr>
              <w:pStyle w:val="Compact"/>
            </w:pPr>
            <w:r>
              <w:t xml:space="preserve">2.024</w:t>
            </w:r>
          </w:p>
        </w:tc>
        <w:tc>
          <w:tcPr/>
          <w:p>
            <w:pPr>
              <w:pStyle w:val="Compact"/>
            </w:pPr>
            <w:r>
              <w:t xml:space="preserve">0,00</w:t>
            </w:r>
          </w:p>
        </w:tc>
      </w:tr>
      <w:tr>
        <w:tc>
          <w:tcPr/>
          <w:p>
            <w:pPr>
              <w:pStyle w:val="Compact"/>
            </w:pPr>
            <w:r>
              <w:t xml:space="preserve">Giraldo</w:t>
            </w:r>
          </w:p>
        </w:tc>
        <w:tc>
          <w:tcPr/>
          <w:p>
            <w:pPr>
              <w:pStyle w:val="Compact"/>
            </w:pPr>
            <w:r>
              <w:t xml:space="preserve">2.024</w:t>
            </w:r>
          </w:p>
        </w:tc>
        <w:tc>
          <w:tcPr/>
          <w:p>
            <w:pPr>
              <w:pStyle w:val="Compact"/>
            </w:pPr>
            <w:r>
              <w:t xml:space="preserve">16,95</w:t>
            </w:r>
          </w:p>
        </w:tc>
      </w:tr>
      <w:tr>
        <w:tc>
          <w:tcPr/>
          <w:p>
            <w:pPr>
              <w:pStyle w:val="Compact"/>
            </w:pPr>
            <w:r>
              <w:t xml:space="preserve">Heliconia</w:t>
            </w:r>
          </w:p>
        </w:tc>
        <w:tc>
          <w:tcPr/>
          <w:p>
            <w:pPr>
              <w:pStyle w:val="Compact"/>
            </w:pPr>
            <w:r>
              <w:t xml:space="preserve">2.024</w:t>
            </w:r>
          </w:p>
        </w:tc>
        <w:tc>
          <w:tcPr/>
          <w:p>
            <w:pPr>
              <w:pStyle w:val="Compact"/>
            </w:pPr>
            <w:r>
              <w:t xml:space="preserve">62,50</w:t>
            </w:r>
          </w:p>
        </w:tc>
      </w:tr>
      <w:tr>
        <w:tc>
          <w:tcPr/>
          <w:p>
            <w:pPr>
              <w:pStyle w:val="Compact"/>
            </w:pPr>
            <w:r>
              <w:t xml:space="preserve">Olaya</w:t>
            </w:r>
          </w:p>
        </w:tc>
        <w:tc>
          <w:tcPr/>
          <w:p>
            <w:pPr>
              <w:pStyle w:val="Compact"/>
            </w:pPr>
            <w:r>
              <w:t xml:space="preserve">2.024</w:t>
            </w:r>
          </w:p>
        </w:tc>
        <w:tc>
          <w:tcPr/>
          <w:p>
            <w:pPr>
              <w:pStyle w:val="Compact"/>
            </w:pPr>
            <w:r>
              <w:t xml:space="preserve">0,00</w:t>
            </w:r>
          </w:p>
        </w:tc>
      </w:tr>
      <w:tr>
        <w:tc>
          <w:tcPr/>
          <w:p>
            <w:pPr>
              <w:pStyle w:val="Compact"/>
            </w:pPr>
            <w:r>
              <w:t xml:space="preserve">Sabanalarga</w:t>
            </w:r>
          </w:p>
        </w:tc>
        <w:tc>
          <w:tcPr/>
          <w:p>
            <w:pPr>
              <w:pStyle w:val="Compact"/>
            </w:pPr>
            <w:r>
              <w:t xml:space="preserve">2.024</w:t>
            </w:r>
          </w:p>
        </w:tc>
        <w:tc>
          <w:tcPr/>
          <w:p>
            <w:pPr>
              <w:pStyle w:val="Compact"/>
            </w:pPr>
            <w:r>
              <w:t xml:space="preserve">14,71</w:t>
            </w:r>
          </w:p>
        </w:tc>
      </w:tr>
      <w:tr>
        <w:tc>
          <w:tcPr/>
          <w:p>
            <w:pPr>
              <w:pStyle w:val="Compact"/>
            </w:pPr>
            <w:r>
              <w:t xml:space="preserve">San Jerónimo</w:t>
            </w:r>
          </w:p>
        </w:tc>
        <w:tc>
          <w:tcPr/>
          <w:p>
            <w:pPr>
              <w:pStyle w:val="Compact"/>
            </w:pPr>
            <w:r>
              <w:t xml:space="preserve">2.024</w:t>
            </w:r>
          </w:p>
        </w:tc>
        <w:tc>
          <w:tcPr/>
          <w:p>
            <w:pPr>
              <w:pStyle w:val="Compact"/>
            </w:pPr>
            <w:r>
              <w:t xml:space="preserve">0,00</w:t>
            </w:r>
          </w:p>
        </w:tc>
      </w:tr>
      <w:tr>
        <w:tc>
          <w:tcPr/>
          <w:p>
            <w:pPr>
              <w:pStyle w:val="Compact"/>
            </w:pPr>
            <w:r>
              <w:t xml:space="preserve">PROMEDIO PONDERADO PROVINCIA TURÍSTICA Y AGROECOLÓGICA (por nacidos vivos)</w:t>
            </w:r>
          </w:p>
        </w:tc>
        <w:tc>
          <w:tcPr/>
          <w:p>
            <w:pPr>
              <w:pStyle w:val="Compact"/>
            </w:pPr>
            <w:r>
              <w:t xml:space="preserve">2.024</w:t>
            </w:r>
          </w:p>
        </w:tc>
        <w:tc>
          <w:tcPr/>
          <w:p>
            <w:pPr>
              <w:pStyle w:val="Compact"/>
            </w:pPr>
            <w:r>
              <w:t xml:space="preserve">9,59</w:t>
            </w:r>
          </w:p>
        </w:tc>
      </w:tr>
      <w:tr>
        <w:tc>
          <w:tcPr/>
          <w:p>
            <w:pPr>
              <w:pStyle w:val="Compact"/>
            </w:pPr>
            <w:r>
              <w:t xml:space="preserve">PROMEDIO PONDERADO SUBREGIÓN OCCIDENTE (por nacidos vivos)</w:t>
            </w:r>
          </w:p>
        </w:tc>
        <w:tc>
          <w:tcPr/>
          <w:p>
            <w:pPr>
              <w:pStyle w:val="Compact"/>
            </w:pPr>
            <w:r>
              <w:t xml:space="preserve">2.024</w:t>
            </w:r>
          </w:p>
        </w:tc>
        <w:tc>
          <w:tcPr/>
          <w:p>
            <w:pPr>
              <w:pStyle w:val="Compact"/>
            </w:pPr>
            <w:r>
              <w:t xml:space="preserve">16,87</w:t>
            </w:r>
          </w:p>
        </w:tc>
      </w:tr>
      <w:tr>
        <w:tc>
          <w:tcPr/>
          <w:p>
            <w:pPr>
              <w:pStyle w:val="Compact"/>
            </w:pPr>
            <w:r>
              <w:t xml:space="preserve">PROMEDIO PONDERADO DEPARTAMENTO (ANTIOQUIA) (por nacidos vivos)</w:t>
            </w:r>
          </w:p>
        </w:tc>
        <w:tc>
          <w:tcPr/>
          <w:p>
            <w:pPr>
              <w:pStyle w:val="Compact"/>
            </w:pPr>
            <w:r>
              <w:t xml:space="preserve">2.024</w:t>
            </w:r>
          </w:p>
        </w:tc>
        <w:tc>
          <w:tcPr/>
          <w:p>
            <w:pPr>
              <w:pStyle w:val="Compact"/>
            </w:pPr>
            <w:r>
              <w:t xml:space="preserve">8,64</w:t>
            </w:r>
          </w:p>
        </w:tc>
      </w:tr>
    </w:tbl>
    <w:p>
      <w:pPr>
        <w:pStyle w:val="BodyText"/>
      </w:pPr>
      <w:r>
        <w:rPr>
          <w:i/>
          <w:iCs/>
        </w:rPr>
        <w:t xml:space="preserve">Fuente: Gobernación de Antioquia, estadísticas vitales. Cálculos propios.</w:t>
      </w:r>
    </w:p>
    <w:p>
      <w:pPr>
        <w:pStyle w:val="CaptionedFigure"/>
      </w:pPr>
      <w:r>
        <w:drawing>
          <wp:inline>
            <wp:extent cx="5600700" cy="3851407"/>
            <wp:effectExtent b="0" l="0" r="0" t="0"/>
            <wp:docPr descr="63. Mortalidad infantil" title="" id="217" name="Picture"/>
            <a:graphic>
              <a:graphicData uri="http://schemas.openxmlformats.org/drawingml/2006/picture">
                <pic:pic>
                  <pic:nvPicPr>
                    <pic:cNvPr descr="D:/LAURA/Trabajo/EAFIT/Proyectos/Provincias/git/Proyecto-Provincias-nuevo/03_Outputs/Turistica_Agroecologica/09_Salud/figuras/mapa_09_mortalidad_infantil.png" id="218" name="Picture"/>
                    <pic:cNvPicPr>
                      <a:picLocks noChangeArrowheads="1" noChangeAspect="1"/>
                    </pic:cNvPicPr>
                  </pic:nvPicPr>
                  <pic:blipFill>
                    <a:blip r:embed="rId216"/>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63. Mortalidad infantil</w:t>
      </w:r>
    </w:p>
    <w:p>
      <w:pPr>
        <w:pStyle w:val="CaptionedFigure"/>
      </w:pPr>
      <w:r>
        <w:drawing>
          <wp:inline>
            <wp:extent cx="5600700" cy="2748464"/>
            <wp:effectExtent b="0" l="0" r="0" t="0"/>
            <wp:docPr descr="64. Aseguramiento SGSSS" title="" id="220" name="Picture"/>
            <a:graphic>
              <a:graphicData uri="http://schemas.openxmlformats.org/drawingml/2006/picture">
                <pic:pic>
                  <pic:nvPicPr>
                    <pic:cNvPr descr="D:/LAURA/Trabajo/EAFIT/Proyectos/Provincias/git/Proyecto-Provincias-nuevo/03_Outputs/Turistica_Agroecologica/09_Salud/figuras/fig_01_aseguramiento_sgsss.png" id="221" name="Picture"/>
                    <pic:cNvPicPr>
                      <a:picLocks noChangeArrowheads="1" noChangeAspect="1"/>
                    </pic:cNvPicPr>
                  </pic:nvPicPr>
                  <pic:blipFill>
                    <a:blip r:embed="rId21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64. Aseguramiento SGSSS</w:t>
      </w:r>
    </w:p>
    <w:p>
      <w:pPr>
        <w:pStyle w:val="CaptionedFigure"/>
      </w:pPr>
      <w:r>
        <w:drawing>
          <wp:inline>
            <wp:extent cx="5600700" cy="2748464"/>
            <wp:effectExtent b="0" l="0" r="0" t="0"/>
            <wp:docPr descr="65. Bajo peso" title="" id="223" name="Picture"/>
            <a:graphic>
              <a:graphicData uri="http://schemas.openxmlformats.org/drawingml/2006/picture">
                <pic:pic>
                  <pic:nvPicPr>
                    <pic:cNvPr descr="D:/LAURA/Trabajo/EAFIT/Proyectos/Provincias/git/Proyecto-Provincias-nuevo/03_Outputs/Turistica_Agroecologica/09_Salud/figuras/fig_02_bajo_peso.png" id="224" name="Picture"/>
                    <pic:cNvPicPr>
                      <a:picLocks noChangeArrowheads="1" noChangeAspect="1"/>
                    </pic:cNvPicPr>
                  </pic:nvPicPr>
                  <pic:blipFill>
                    <a:blip r:embed="rId222"/>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65. Bajo peso</w:t>
      </w:r>
    </w:p>
    <w:p>
      <w:pPr>
        <w:pStyle w:val="CaptionedFigure"/>
      </w:pPr>
      <w:r>
        <w:drawing>
          <wp:inline>
            <wp:extent cx="5600700" cy="2748464"/>
            <wp:effectExtent b="0" l="0" r="0" t="0"/>
            <wp:docPr descr="66. Enfermedades vectores" title="" id="226" name="Picture"/>
            <a:graphic>
              <a:graphicData uri="http://schemas.openxmlformats.org/drawingml/2006/picture">
                <pic:pic>
                  <pic:nvPicPr>
                    <pic:cNvPr descr="D:/LAURA/Trabajo/EAFIT/Proyectos/Provincias/git/Proyecto-Provincias-nuevo/03_Outputs/Turistica_Agroecologica/09_Salud/figuras/fig_03_enfermedades_vectores.png" id="227" name="Picture"/>
                    <pic:cNvPicPr>
                      <a:picLocks noChangeArrowheads="1" noChangeAspect="1"/>
                    </pic:cNvPicPr>
                  </pic:nvPicPr>
                  <pic:blipFill>
                    <a:blip r:embed="rId225"/>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66. Enfermedades vectores</w:t>
      </w:r>
    </w:p>
    <w:p>
      <w:pPr>
        <w:pStyle w:val="CaptionedFigure"/>
      </w:pPr>
      <w:r>
        <w:drawing>
          <wp:inline>
            <wp:extent cx="5600700" cy="3605320"/>
            <wp:effectExtent b="0" l="0" r="0" t="0"/>
            <wp:docPr descr="67. Suicidios" title="" id="229" name="Picture"/>
            <a:graphic>
              <a:graphicData uri="http://schemas.openxmlformats.org/drawingml/2006/picture">
                <pic:pic>
                  <pic:nvPicPr>
                    <pic:cNvPr descr="D:/LAURA/Trabajo/EAFIT/Proyectos/Provincias/git/Proyecto-Provincias-nuevo/03_Outputs/Turistica_Agroecologica/09_Salud/figuras/fig_04_suicidios.png" id="230" name="Picture"/>
                    <pic:cNvPicPr>
                      <a:picLocks noChangeArrowheads="1" noChangeAspect="1"/>
                    </pic:cNvPicPr>
                  </pic:nvPicPr>
                  <pic:blipFill>
                    <a:blip r:embed="rId228"/>
                    <a:stretch>
                      <a:fillRect/>
                    </a:stretch>
                  </pic:blipFill>
                  <pic:spPr bwMode="auto">
                    <a:xfrm>
                      <a:off x="0" y="0"/>
                      <a:ext cx="5600700" cy="3605320"/>
                    </a:xfrm>
                    <a:prstGeom prst="rect">
                      <a:avLst/>
                    </a:prstGeom>
                    <a:noFill/>
                    <a:ln w="9525">
                      <a:noFill/>
                      <a:headEnd/>
                      <a:tailEnd/>
                    </a:ln>
                  </pic:spPr>
                </pic:pic>
              </a:graphicData>
            </a:graphic>
          </wp:inline>
        </w:drawing>
      </w:r>
    </w:p>
    <w:p>
      <w:pPr>
        <w:pStyle w:val="ImageCaption"/>
      </w:pPr>
      <w:r>
        <w:t xml:space="preserve">67. Suicidios</w:t>
      </w:r>
    </w:p>
    <w:bookmarkEnd w:id="231"/>
    <w:bookmarkStart w:id="256" w:name="seguridad-paz-y-derechos-humanos"/>
    <w:p>
      <w:pPr>
        <w:pStyle w:val="Heading3"/>
      </w:pPr>
      <w:r>
        <w:t xml:space="preserve">Seguridad, Paz y Derechos Humanos</w:t>
      </w:r>
    </w:p>
    <w:p>
      <w:pPr>
        <w:pStyle w:val="FirstParagraph"/>
      </w:pPr>
      <w:r>
        <w:t xml:space="preserve">Esta sección reúne tres registros que en la Provincia Turística y Agroecológica se solapan: la seguridad y convivencia del presente, la huella del conflicto armado y la situación de derechos humanos. Se presentan por separado porque responden a políticas distintas, pero se leen mejor juntos.</w:t>
      </w:r>
    </w:p>
    <w:bookmarkStart w:id="232" w:name="seguridad-y-convivencia-ciudadana"/>
    <w:p>
      <w:pPr>
        <w:pStyle w:val="Heading4"/>
      </w:pPr>
      <w:r>
        <w:t xml:space="preserve">Seguridad y convivencia ciudadana</w:t>
      </w:r>
    </w:p>
    <w:p>
      <w:pPr>
        <w:pStyle w:val="FirstParagraph"/>
      </w:pPr>
      <w:r>
        <w:t xml:space="preserve">Las tasas de homicidio más altas de la Provincia corresponden a Buriticá (90,8) y San Jerónimo (81,8), con una tasa provincial de 53,9 por cada cien mil habitantes, por encima del departamento (25,3), con una diferencia de 113 %. En el mapa, los 3 municipios con los valores más altos forman un patrón parcialmente contiguo.</w:t>
      </w:r>
    </w:p>
    <w:p>
      <w:pPr>
        <w:pStyle w:val="BodyText"/>
      </w:pPr>
      <w:r>
        <w:t xml:space="preserve">Los delitos contra el patrimonio y la violencia intrafamiliar dibujan un mapa distinto: el hurto se concentra en San Jerónimo (338,0) y Heliconia (99,2) y la violencia intrafamiliar en Sabanalarga (161,5) y Heliconia (99,2). Que no coincidan con la geografía del homicidio es esperable —responden a dinámicas diferentes— y es una razón para no reducir la política de seguridad a un solo indicador.</w:t>
      </w:r>
    </w:p>
    <w:p>
      <w:pPr>
        <w:pStyle w:val="BodyText"/>
      </w:pPr>
      <w:r>
        <w:t xml:space="preserve">El Índice de Riesgo de Victimización clasifica a los municipios según su exposición prospectiva. En la Provincia, la categoría más frecuente es «Medio Bajo», con 4 municipios, y los valores más altos corresponden a Sabanalarga (0,3216) y Buriticá (0,2151). A diferencia de las tasas de delito, que describen lo ocurrido, el IRV anticipa: es la medida más útil para priorizar prevención.</w:t>
      </w:r>
    </w:p>
    <w:p>
      <w:pPr>
        <w:pStyle w:val="BlockText"/>
      </w:pPr>
      <w:r>
        <w:rPr>
          <w:b/>
          <w:bCs/>
        </w:rPr>
        <w:t xml:space="preserve">Verificar con el equipo</w:t>
      </w:r>
      <w:r>
        <w:t xml:space="preserve"> </w:t>
      </w:r>
      <w:r>
        <w:t xml:space="preserve">— qué actores y economías ilegales operan en la Provincia y cómo se relacionan con los corredores de movilidad. Las tasas describen el resultado; la explicación exige información de contexto que no está en estas fuentes.</w:t>
      </w:r>
    </w:p>
    <w:p>
      <w:pPr>
        <w:pStyle w:val="FirstParagraph"/>
      </w:pPr>
      <w:r>
        <w:rPr>
          <w:b/>
          <w:bCs/>
        </w:rPr>
        <w:t xml:space="preserve">Tabla 6.</w:t>
      </w:r>
      <w:r>
        <w:t xml:space="preserve"> </w:t>
      </w:r>
      <w:r>
        <w:t xml:space="preserve">Tasas de delitos de alto impacto en la Provincia Turística y Agroecológica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Homicidios por 100.000 hab.</w:t>
            </w:r>
          </w:p>
        </w:tc>
        <w:tc>
          <w:tcPr/>
          <w:p>
            <w:pPr>
              <w:pStyle w:val="Compact"/>
            </w:pPr>
            <w:r>
              <w:t xml:space="preserve">Hurtos por 100.000 hab.</w:t>
            </w:r>
          </w:p>
        </w:tc>
        <w:tc>
          <w:tcPr/>
          <w:p>
            <w:pPr>
              <w:pStyle w:val="Compact"/>
            </w:pPr>
            <w:r>
              <w:t xml:space="preserve">Violencia intrafamiliar por 100.000 hab.</w:t>
            </w:r>
          </w:p>
        </w:tc>
        <w:tc>
          <w:tcPr/>
          <w:p>
            <w:pPr>
              <w:pStyle w:val="Compact"/>
            </w:pPr>
            <w:r>
              <w:t xml:space="preserve">Delitos sexuales por 100.000 hab.</w:t>
            </w:r>
          </w:p>
        </w:tc>
      </w:tr>
      <w:tr>
        <w:tc>
          <w:tcPr/>
          <w:p>
            <w:pPr>
              <w:pStyle w:val="Compact"/>
            </w:pPr>
            <w:r>
              <w:t xml:space="preserve">Buriticá</w:t>
            </w:r>
          </w:p>
        </w:tc>
        <w:tc>
          <w:tcPr/>
          <w:p>
            <w:pPr>
              <w:pStyle w:val="Compact"/>
            </w:pPr>
            <w:r>
              <w:t xml:space="preserve">90,79</w:t>
            </w:r>
          </w:p>
        </w:tc>
        <w:tc>
          <w:tcPr/>
          <w:p>
            <w:pPr>
              <w:pStyle w:val="Compact"/>
            </w:pPr>
            <w:r>
              <w:t xml:space="preserve">63,55</w:t>
            </w:r>
          </w:p>
        </w:tc>
        <w:tc>
          <w:tcPr/>
          <w:p>
            <w:pPr>
              <w:pStyle w:val="Compact"/>
            </w:pPr>
            <w:r>
              <w:t xml:space="preserve">36,31</w:t>
            </w:r>
          </w:p>
        </w:tc>
        <w:tc>
          <w:tcPr/>
          <w:p>
            <w:pPr>
              <w:pStyle w:val="Compact"/>
            </w:pPr>
            <w:r>
              <w:t xml:space="preserve">18,16</w:t>
            </w:r>
          </w:p>
        </w:tc>
      </w:tr>
      <w:tr>
        <w:tc>
          <w:tcPr/>
          <w:p>
            <w:pPr>
              <w:pStyle w:val="Compact"/>
            </w:pPr>
            <w:r>
              <w:t xml:space="preserve">Ebéjico</w:t>
            </w:r>
          </w:p>
        </w:tc>
        <w:tc>
          <w:tcPr/>
          <w:p>
            <w:pPr>
              <w:pStyle w:val="Compact"/>
            </w:pPr>
            <w:r>
              <w:t xml:space="preserve">0,00</w:t>
            </w:r>
          </w:p>
        </w:tc>
        <w:tc>
          <w:tcPr/>
          <w:p>
            <w:pPr>
              <w:pStyle w:val="Compact"/>
            </w:pPr>
            <w:r>
              <w:t xml:space="preserve">79,29</w:t>
            </w:r>
          </w:p>
        </w:tc>
        <w:tc>
          <w:tcPr/>
          <w:p>
            <w:pPr>
              <w:pStyle w:val="Compact"/>
            </w:pPr>
            <w:r>
              <w:t xml:space="preserve">55,50</w:t>
            </w:r>
          </w:p>
        </w:tc>
        <w:tc>
          <w:tcPr/>
          <w:p>
            <w:pPr>
              <w:pStyle w:val="Compact"/>
            </w:pPr>
            <w:r>
              <w:t xml:space="preserve">15,86</w:t>
            </w:r>
          </w:p>
        </w:tc>
      </w:tr>
      <w:tr>
        <w:tc>
          <w:tcPr/>
          <w:p>
            <w:pPr>
              <w:pStyle w:val="Compact"/>
            </w:pPr>
            <w:r>
              <w:t xml:space="preserve">Giraldo</w:t>
            </w:r>
          </w:p>
        </w:tc>
        <w:tc>
          <w:tcPr/>
          <w:p>
            <w:pPr>
              <w:pStyle w:val="Compact"/>
            </w:pPr>
            <w:r>
              <w:t xml:space="preserve">15,62</w:t>
            </w:r>
          </w:p>
        </w:tc>
        <w:tc>
          <w:tcPr/>
          <w:p>
            <w:pPr>
              <w:pStyle w:val="Compact"/>
            </w:pPr>
            <w:r>
              <w:t xml:space="preserve">78,08</w:t>
            </w:r>
          </w:p>
        </w:tc>
        <w:tc>
          <w:tcPr/>
          <w:p>
            <w:pPr>
              <w:pStyle w:val="Compact"/>
            </w:pPr>
            <w:r>
              <w:t xml:space="preserve">46,85</w:t>
            </w:r>
          </w:p>
        </w:tc>
        <w:tc>
          <w:tcPr/>
          <w:p>
            <w:pPr>
              <w:pStyle w:val="Compact"/>
            </w:pPr>
            <w:r>
              <w:t xml:space="preserve">31,23</w:t>
            </w:r>
          </w:p>
        </w:tc>
      </w:tr>
      <w:tr>
        <w:tc>
          <w:tcPr/>
          <w:p>
            <w:pPr>
              <w:pStyle w:val="Compact"/>
            </w:pPr>
            <w:r>
              <w:t xml:space="preserve">Heliconia</w:t>
            </w:r>
          </w:p>
        </w:tc>
        <w:tc>
          <w:tcPr/>
          <w:p>
            <w:pPr>
              <w:pStyle w:val="Compact"/>
            </w:pPr>
            <w:r>
              <w:t xml:space="preserve">39,70</w:t>
            </w:r>
          </w:p>
        </w:tc>
        <w:tc>
          <w:tcPr/>
          <w:p>
            <w:pPr>
              <w:pStyle w:val="Compact"/>
            </w:pPr>
            <w:r>
              <w:t xml:space="preserve">99,25</w:t>
            </w:r>
          </w:p>
        </w:tc>
        <w:tc>
          <w:tcPr/>
          <w:p>
            <w:pPr>
              <w:pStyle w:val="Compact"/>
            </w:pPr>
            <w:r>
              <w:t xml:space="preserve">99,25</w:t>
            </w:r>
          </w:p>
        </w:tc>
        <w:tc>
          <w:tcPr/>
          <w:p>
            <w:pPr>
              <w:pStyle w:val="Compact"/>
            </w:pPr>
            <w:r>
              <w:t xml:space="preserve">0,00</w:t>
            </w:r>
          </w:p>
        </w:tc>
      </w:tr>
      <w:tr>
        <w:tc>
          <w:tcPr/>
          <w:p>
            <w:pPr>
              <w:pStyle w:val="Compact"/>
            </w:pPr>
            <w:r>
              <w:t xml:space="preserve">Olaya</w:t>
            </w:r>
          </w:p>
        </w:tc>
        <w:tc>
          <w:tcPr/>
          <w:p>
            <w:pPr>
              <w:pStyle w:val="Compact"/>
            </w:pPr>
            <w:r>
              <w:t xml:space="preserve">0,00</w:t>
            </w:r>
          </w:p>
        </w:tc>
        <w:tc>
          <w:tcPr/>
          <w:p>
            <w:pPr>
              <w:pStyle w:val="Compact"/>
            </w:pPr>
            <w:r>
              <w:t xml:space="preserve">28,83</w:t>
            </w:r>
          </w:p>
        </w:tc>
        <w:tc>
          <w:tcPr/>
          <w:p>
            <w:pPr>
              <w:pStyle w:val="Compact"/>
            </w:pPr>
            <w:r>
              <w:t xml:space="preserve">57,65</w:t>
            </w:r>
          </w:p>
        </w:tc>
        <w:tc>
          <w:tcPr/>
          <w:p>
            <w:pPr>
              <w:pStyle w:val="Compact"/>
            </w:pPr>
            <w:r>
              <w:t xml:space="preserve">57,65</w:t>
            </w:r>
          </w:p>
        </w:tc>
      </w:tr>
      <w:tr>
        <w:tc>
          <w:tcPr/>
          <w:p>
            <w:pPr>
              <w:pStyle w:val="Compact"/>
            </w:pPr>
            <w:r>
              <w:t xml:space="preserve">Sabanalarga</w:t>
            </w:r>
          </w:p>
        </w:tc>
        <w:tc>
          <w:tcPr/>
          <w:p>
            <w:pPr>
              <w:pStyle w:val="Compact"/>
            </w:pPr>
            <w:r>
              <w:t xml:space="preserve">80,73</w:t>
            </w:r>
          </w:p>
        </w:tc>
        <w:tc>
          <w:tcPr/>
          <w:p>
            <w:pPr>
              <w:pStyle w:val="Compact"/>
            </w:pPr>
            <w:r>
              <w:t xml:space="preserve">30,28</w:t>
            </w:r>
          </w:p>
        </w:tc>
        <w:tc>
          <w:tcPr/>
          <w:p>
            <w:pPr>
              <w:pStyle w:val="Compact"/>
            </w:pPr>
            <w:r>
              <w:t xml:space="preserve">161,47</w:t>
            </w:r>
          </w:p>
        </w:tc>
        <w:tc>
          <w:tcPr/>
          <w:p>
            <w:pPr>
              <w:pStyle w:val="Compact"/>
            </w:pPr>
            <w:r>
              <w:t xml:space="preserve">70,64</w:t>
            </w:r>
          </w:p>
        </w:tc>
      </w:tr>
      <w:tr>
        <w:tc>
          <w:tcPr/>
          <w:p>
            <w:pPr>
              <w:pStyle w:val="Compact"/>
            </w:pPr>
            <w:r>
              <w:t xml:space="preserve">San Jerónimo</w:t>
            </w:r>
          </w:p>
        </w:tc>
        <w:tc>
          <w:tcPr/>
          <w:p>
            <w:pPr>
              <w:pStyle w:val="Compact"/>
            </w:pPr>
            <w:r>
              <w:t xml:space="preserve">81,77</w:t>
            </w:r>
          </w:p>
        </w:tc>
        <w:tc>
          <w:tcPr/>
          <w:p>
            <w:pPr>
              <w:pStyle w:val="Compact"/>
            </w:pPr>
            <w:r>
              <w:t xml:space="preserve">337,97</w:t>
            </w:r>
          </w:p>
        </w:tc>
        <w:tc>
          <w:tcPr/>
          <w:p>
            <w:pPr>
              <w:pStyle w:val="Compact"/>
            </w:pPr>
            <w:r>
              <w:t xml:space="preserve">54,51</w:t>
            </w:r>
          </w:p>
        </w:tc>
        <w:tc>
          <w:tcPr/>
          <w:p>
            <w:pPr>
              <w:pStyle w:val="Compact"/>
            </w:pPr>
            <w:r>
              <w:t xml:space="preserve">59,96</w:t>
            </w:r>
          </w:p>
        </w:tc>
      </w:tr>
      <w:tr>
        <w:tc>
          <w:tcPr/>
          <w:p>
            <w:pPr>
              <w:pStyle w:val="Compact"/>
            </w:pPr>
            <w:r>
              <w:t xml:space="preserve">TOTAL PROVINCIA TURÍSTICA Y AGROECOLÓGICA</w:t>
            </w:r>
          </w:p>
        </w:tc>
        <w:tc>
          <w:tcPr/>
          <w:p>
            <w:pPr>
              <w:pStyle w:val="Compact"/>
            </w:pPr>
            <w:r>
              <w:t xml:space="preserve">53,90</w:t>
            </w:r>
          </w:p>
        </w:tc>
        <w:tc>
          <w:tcPr/>
          <w:p>
            <w:pPr>
              <w:pStyle w:val="Compact"/>
            </w:pPr>
            <w:r>
              <w:t xml:space="preserve">139,24</w:t>
            </w:r>
          </w:p>
        </w:tc>
        <w:tc>
          <w:tcPr/>
          <w:p>
            <w:pPr>
              <w:pStyle w:val="Compact"/>
            </w:pPr>
            <w:r>
              <w:t xml:space="preserve">70,37</w:t>
            </w:r>
          </w:p>
        </w:tc>
        <w:tc>
          <w:tcPr/>
          <w:p>
            <w:pPr>
              <w:pStyle w:val="Compact"/>
            </w:pPr>
            <w:r>
              <w:t xml:space="preserve">38,93</w:t>
            </w:r>
          </w:p>
        </w:tc>
      </w:tr>
      <w:tr>
        <w:tc>
          <w:tcPr/>
          <w:p>
            <w:pPr>
              <w:pStyle w:val="Compact"/>
            </w:pPr>
            <w:r>
              <w:t xml:space="preserve">TOTAL SUBREGIÓN OCCIDENTE</w:t>
            </w:r>
          </w:p>
        </w:tc>
        <w:tc>
          <w:tcPr/>
          <w:p>
            <w:pPr>
              <w:pStyle w:val="Compact"/>
            </w:pPr>
            <w:r>
              <w:t xml:space="preserve">39,86</w:t>
            </w:r>
          </w:p>
        </w:tc>
        <w:tc>
          <w:tcPr/>
          <w:p>
            <w:pPr>
              <w:pStyle w:val="Compact"/>
            </w:pPr>
            <w:r>
              <w:t xml:space="preserve">117,81</w:t>
            </w:r>
          </w:p>
        </w:tc>
        <w:tc>
          <w:tcPr/>
          <w:p>
            <w:pPr>
              <w:pStyle w:val="Compact"/>
            </w:pPr>
            <w:r>
              <w:t xml:space="preserve">104,52</w:t>
            </w:r>
          </w:p>
        </w:tc>
        <w:tc>
          <w:tcPr/>
          <w:p>
            <w:pPr>
              <w:pStyle w:val="Compact"/>
            </w:pPr>
            <w:r>
              <w:t xml:space="preserve">66,43</w:t>
            </w:r>
          </w:p>
        </w:tc>
      </w:tr>
      <w:tr>
        <w:tc>
          <w:tcPr/>
          <w:p>
            <w:pPr>
              <w:pStyle w:val="Compact"/>
            </w:pPr>
            <w:r>
              <w:t xml:space="preserve">TOTAL DEPARTAMENTO (ANTIOQUIA)</w:t>
            </w:r>
          </w:p>
        </w:tc>
        <w:tc>
          <w:tcPr/>
          <w:p>
            <w:pPr>
              <w:pStyle w:val="Compact"/>
            </w:pPr>
            <w:r>
              <w:t xml:space="preserve">25,33</w:t>
            </w:r>
          </w:p>
        </w:tc>
        <w:tc>
          <w:tcPr/>
          <w:p>
            <w:pPr>
              <w:pStyle w:val="Compact"/>
            </w:pPr>
            <w:r>
              <w:t xml:space="preserve">506,74</w:t>
            </w:r>
          </w:p>
        </w:tc>
        <w:tc>
          <w:tcPr/>
          <w:p>
            <w:pPr>
              <w:pStyle w:val="Compact"/>
            </w:pPr>
            <w:r>
              <w:t xml:space="preserve">276,47</w:t>
            </w:r>
          </w:p>
        </w:tc>
        <w:tc>
          <w:tcPr/>
          <w:p>
            <w:pPr>
              <w:pStyle w:val="Compact"/>
            </w:pPr>
            <w:r>
              <w:t xml:space="preserve">71,92</w:t>
            </w:r>
          </w:p>
        </w:tc>
      </w:tr>
    </w:tbl>
    <w:p>
      <w:pPr>
        <w:pStyle w:val="BodyText"/>
      </w:pPr>
      <w:r>
        <w:rPr>
          <w:i/>
          <w:iCs/>
        </w:rPr>
        <w:t xml:space="preserve">Fuente: Policía Nacional, SIEDCO. Cálculos propios.</w:t>
      </w:r>
    </w:p>
    <w:bookmarkEnd w:id="232"/>
    <w:bookmarkStart w:id="233" w:name="paz"/>
    <w:p>
      <w:pPr>
        <w:pStyle w:val="Heading4"/>
      </w:pPr>
      <w:r>
        <w:t xml:space="preserve">Paz</w:t>
      </w:r>
    </w:p>
    <w:p>
      <w:pPr>
        <w:pStyle w:val="FirstParagraph"/>
      </w:pPr>
      <w:r>
        <w:t xml:space="preserve">La Provincia registra 30.216 victimizaciones por ocurrencia del conflicto armado, muy concentrada: Sabanalarga y Buriticá reúnen el 64 % del total. Son victimizaciones y no personas —una misma persona puede aparecer en más de un hecho—, de modo que la cifra mide la intensidad del daño y no el número de víctimas.</w:t>
      </w:r>
    </w:p>
    <w:p>
      <w:pPr>
        <w:pStyle w:val="BodyText"/>
      </w:pPr>
      <w:r>
        <w:t xml:space="preserve">Por tipo de hecho, desplazamiento forzado concentra el 72,7 % de las victimizaciones de la Provincia. La composición del daño importa para la reparación: no se repara igual un desplazamiento que una desaparición o un despojo.</w:t>
      </w:r>
    </w:p>
    <w:p>
      <w:pPr>
        <w:pStyle w:val="BodyText"/>
      </w:pPr>
      <w:r>
        <w:t xml:space="preserve">Las solicitudes de restitución de tierras por cada mil habitantes son más altas en Heliconia (16,47) y Sabanalarga (4,94). La restitución es el indicador que enlaza el conflicto con el ordenamiento: donde hubo despojo, la formalización de la propiedad rural sigue pendiente.</w:t>
      </w:r>
    </w:p>
    <w:p>
      <w:pPr>
        <w:pStyle w:val="BodyText"/>
      </w:pPr>
      <w:r>
        <w:t xml:space="preserve">La Provincia no registra hectáreas de cultivos de coca en la fuente disponible.</w:t>
      </w:r>
    </w:p>
    <w:p>
      <w:pPr>
        <w:pStyle w:val="BlockText"/>
      </w:pPr>
      <w:r>
        <w:rPr>
          <w:b/>
          <w:bCs/>
        </w:rPr>
        <w:t xml:space="preserve">Verificar con el equipo</w:t>
      </w:r>
      <w:r>
        <w:t xml:space="preserve"> </w:t>
      </w:r>
      <w:r>
        <w:t xml:space="preserve">— el estado de implementación de los instrumentos de paz en la Provincia —PDET, PNIS, planes de reparación colectiva— y qué sujetos de reparación colectiva están reconocidos.</w:t>
      </w:r>
    </w:p>
    <w:bookmarkEnd w:id="233"/>
    <w:bookmarkStart w:id="255" w:name="derechos-humanos"/>
    <w:p>
      <w:pPr>
        <w:pStyle w:val="Heading4"/>
      </w:pPr>
      <w:r>
        <w:t xml:space="preserve">Derechos Humanos</w:t>
      </w:r>
    </w:p>
    <w:p>
      <w:pPr>
        <w:pStyle w:val="FirstParagraph"/>
      </w:pPr>
      <w:r>
        <w:t xml:space="preserve">La Unidad de Búsqueda de Personas dadas por Desaparecidas registra 143 casos en la Provincia, muy concentrada: Sabanalarga y San Jerónimo reúnen el 51 % del total. La desaparición forzada es el hecho victimizante con mayor subregistro histórico, de modo que la cifra debe leerse como una cota inferior.</w:t>
      </w:r>
    </w:p>
    <w:p>
      <w:pPr>
        <w:pStyle w:val="BodyText"/>
      </w:pPr>
      <w:r>
        <w:t xml:space="preserve">La encuesta de percepción de seguridad complementa este panorama con la mirada de la ciudadanía. Sus resultados son representativos a nivel de</w:t>
      </w:r>
      <w:r>
        <w:t xml:space="preserve"> </w:t>
      </w:r>
      <w:r>
        <w:rPr>
          <w:b/>
          <w:bCs/>
        </w:rPr>
        <w:t xml:space="preserve">subregión</w:t>
      </w:r>
      <w:r>
        <w:t xml:space="preserve">, no de provincia ni de municipio, y así se rotulan en las tablas y figuras de esta sección: presentarlos como cifras provinciales atribuiría a este territorio una medición que no lo representa.</w:t>
      </w:r>
    </w:p>
    <w:p>
      <w:pPr>
        <w:pStyle w:val="BlockText"/>
      </w:pPr>
      <w:r>
        <w:rPr>
          <w:b/>
          <w:bCs/>
        </w:rPr>
        <w:t xml:space="preserve">Verificar con el equipo</w:t>
      </w:r>
      <w:r>
        <w:t xml:space="preserve"> </w:t>
      </w:r>
      <w:r>
        <w:t xml:space="preserve">— qué organizaciones sociales y de víctimas operan en la Provincia y qué mecanismos de protección existen para líderes sociales, que es información de campo y no estadística.</w:t>
      </w:r>
    </w:p>
    <w:p>
      <w:pPr>
        <w:pStyle w:val="CaptionedFigure"/>
      </w:pPr>
      <w:r>
        <w:drawing>
          <wp:inline>
            <wp:extent cx="5600700" cy="3851407"/>
            <wp:effectExtent b="0" l="0" r="0" t="0"/>
            <wp:docPr descr="68. Homicidios" title="" id="235" name="Picture"/>
            <a:graphic>
              <a:graphicData uri="http://schemas.openxmlformats.org/drawingml/2006/picture">
                <pic:pic>
                  <pic:nvPicPr>
                    <pic:cNvPr descr="D:/LAURA/Trabajo/EAFIT/Proyectos/Provincias/git/Proyecto-Provincias-nuevo/03_Outputs/Turistica_Agroecologica/10_Seguridad/figuras/mapa_10_homicidios.png" id="236" name="Picture"/>
                    <pic:cNvPicPr>
                      <a:picLocks noChangeArrowheads="1" noChangeAspect="1"/>
                    </pic:cNvPicPr>
                  </pic:nvPicPr>
                  <pic:blipFill>
                    <a:blip r:embed="rId234"/>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68. Homicidios</w:t>
      </w:r>
    </w:p>
    <w:p>
      <w:pPr>
        <w:pStyle w:val="CaptionedFigure"/>
      </w:pPr>
      <w:r>
        <w:drawing>
          <wp:inline>
            <wp:extent cx="5600700" cy="3851407"/>
            <wp:effectExtent b="0" l="0" r="0" t="0"/>
            <wp:docPr descr="69. Homicidios departamento" title="" id="238" name="Picture"/>
            <a:graphic>
              <a:graphicData uri="http://schemas.openxmlformats.org/drawingml/2006/picture">
                <pic:pic>
                  <pic:nvPicPr>
                    <pic:cNvPr descr="D:/LAURA/Trabajo/EAFIT/Proyectos/Provincias/git/Proyecto-Provincias-nuevo/03_Outputs/Turistica_Agroecologica/10_Seguridad/figuras/mapa_10_homicidios_dpto.png" id="239" name="Picture"/>
                    <pic:cNvPicPr>
                      <a:picLocks noChangeArrowheads="1" noChangeAspect="1"/>
                    </pic:cNvPicPr>
                  </pic:nvPicPr>
                  <pic:blipFill>
                    <a:blip r:embed="rId237"/>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69. Homicidios departamento</w:t>
      </w:r>
    </w:p>
    <w:p>
      <w:pPr>
        <w:pStyle w:val="CaptionedFigure"/>
      </w:pPr>
      <w:r>
        <w:drawing>
          <wp:inline>
            <wp:extent cx="5600700" cy="2798867"/>
            <wp:effectExtent b="0" l="0" r="0" t="0"/>
            <wp:docPr descr="70. Percepción seguridad" title="" id="241" name="Picture"/>
            <a:graphic>
              <a:graphicData uri="http://schemas.openxmlformats.org/drawingml/2006/picture">
                <pic:pic>
                  <pic:nvPicPr>
                    <pic:cNvPr descr="D:/LAURA/Trabajo/EAFIT/Proyectos/Provincias/git/Proyecto-Provincias-nuevo/03_Outputs/Turistica_Agroecologica/10_Seguridad/figuras/fig_01_percepcion_seguridad.png" id="242" name="Picture"/>
                    <pic:cNvPicPr>
                      <a:picLocks noChangeArrowheads="1" noChangeAspect="1"/>
                    </pic:cNvPicPr>
                  </pic:nvPicPr>
                  <pic:blipFill>
                    <a:blip r:embed="rId240"/>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70. Percepción seguridad</w:t>
      </w:r>
    </w:p>
    <w:p>
      <w:pPr>
        <w:pStyle w:val="CaptionedFigure"/>
      </w:pPr>
      <w:r>
        <w:drawing>
          <wp:inline>
            <wp:extent cx="5600700" cy="2748464"/>
            <wp:effectExtent b="0" l="0" r="0" t="0"/>
            <wp:docPr descr="71. Restitución tierras" title="" id="244" name="Picture"/>
            <a:graphic>
              <a:graphicData uri="http://schemas.openxmlformats.org/drawingml/2006/picture">
                <pic:pic>
                  <pic:nvPicPr>
                    <pic:cNvPr descr="D:/LAURA/Trabajo/EAFIT/Proyectos/Provincias/git/Proyecto-Provincias-nuevo/03_Outputs/Turistica_Agroecologica/10_Seguridad/figuras/fig_02_restitucion_tierras.png" id="245" name="Picture"/>
                    <pic:cNvPicPr>
                      <a:picLocks noChangeArrowheads="1" noChangeAspect="1"/>
                    </pic:cNvPicPr>
                  </pic:nvPicPr>
                  <pic:blipFill>
                    <a:blip r:embed="rId243"/>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71. Restitución tierras</w:t>
      </w:r>
    </w:p>
    <w:p>
      <w:pPr>
        <w:pStyle w:val="CaptionedFigure"/>
      </w:pPr>
      <w:r>
        <w:drawing>
          <wp:inline>
            <wp:extent cx="5600700" cy="2748464"/>
            <wp:effectExtent b="0" l="0" r="0" t="0"/>
            <wp:docPr descr="72. Personas desaparecidas" title="" id="247" name="Picture"/>
            <a:graphic>
              <a:graphicData uri="http://schemas.openxmlformats.org/drawingml/2006/picture">
                <pic:pic>
                  <pic:nvPicPr>
                    <pic:cNvPr descr="D:/LAURA/Trabajo/EAFIT/Proyectos/Provincias/git/Proyecto-Provincias-nuevo/03_Outputs/Turistica_Agroecologica/10_Seguridad/figuras/fig_03_personas_desaparecidas.png" id="248" name="Picture"/>
                    <pic:cNvPicPr>
                      <a:picLocks noChangeArrowheads="1" noChangeAspect="1"/>
                    </pic:cNvPicPr>
                  </pic:nvPicPr>
                  <pic:blipFill>
                    <a:blip r:embed="rId24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72. Personas desaparecidas</w:t>
      </w:r>
    </w:p>
    <w:p>
      <w:pPr>
        <w:pStyle w:val="CaptionedFigure"/>
      </w:pPr>
      <w:r>
        <w:drawing>
          <wp:inline>
            <wp:extent cx="5600700" cy="2748464"/>
            <wp:effectExtent b="0" l="0" r="0" t="0"/>
            <wp:docPr descr="73. Víctimas ocurrencia" title="" id="250" name="Picture"/>
            <a:graphic>
              <a:graphicData uri="http://schemas.openxmlformats.org/drawingml/2006/picture">
                <pic:pic>
                  <pic:nvPicPr>
                    <pic:cNvPr descr="D:/LAURA/Trabajo/EAFIT/Proyectos/Provincias/git/Proyecto-Provincias-nuevo/03_Outputs/Turistica_Agroecologica/10_Seguridad/figuras/fig_04_victimas_ocurrencia.png" id="251" name="Picture"/>
                    <pic:cNvPicPr>
                      <a:picLocks noChangeArrowheads="1" noChangeAspect="1"/>
                    </pic:cNvPicPr>
                  </pic:nvPicPr>
                  <pic:blipFill>
                    <a:blip r:embed="rId249"/>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73. Víctimas ocurrencia</w:t>
      </w:r>
    </w:p>
    <w:p>
      <w:pPr>
        <w:pStyle w:val="CaptionedFigure"/>
      </w:pPr>
      <w:r>
        <w:drawing>
          <wp:inline>
            <wp:extent cx="5600700" cy="4479967"/>
            <wp:effectExtent b="0" l="0" r="0" t="0"/>
            <wp:docPr descr="74. Hechos victimizantes" title="" id="253" name="Picture"/>
            <a:graphic>
              <a:graphicData uri="http://schemas.openxmlformats.org/drawingml/2006/picture">
                <pic:pic>
                  <pic:nvPicPr>
                    <pic:cNvPr descr="D:/LAURA/Trabajo/EAFIT/Proyectos/Provincias/git/Proyecto-Provincias-nuevo/03_Outputs/Turistica_Agroecologica/10_Seguridad/figuras/fig_05_hechos_victimizantes.png" id="254" name="Picture"/>
                    <pic:cNvPicPr>
                      <a:picLocks noChangeArrowheads="1" noChangeAspect="1"/>
                    </pic:cNvPicPr>
                  </pic:nvPicPr>
                  <pic:blipFill>
                    <a:blip r:embed="rId252"/>
                    <a:stretch>
                      <a:fillRect/>
                    </a:stretch>
                  </pic:blipFill>
                  <pic:spPr bwMode="auto">
                    <a:xfrm>
                      <a:off x="0" y="0"/>
                      <a:ext cx="5600700" cy="4479967"/>
                    </a:xfrm>
                    <a:prstGeom prst="rect">
                      <a:avLst/>
                    </a:prstGeom>
                    <a:noFill/>
                    <a:ln w="9525">
                      <a:noFill/>
                      <a:headEnd/>
                      <a:tailEnd/>
                    </a:ln>
                  </pic:spPr>
                </pic:pic>
              </a:graphicData>
            </a:graphic>
          </wp:inline>
        </w:drawing>
      </w:r>
    </w:p>
    <w:p>
      <w:pPr>
        <w:pStyle w:val="ImageCaption"/>
      </w:pPr>
      <w:r>
        <w:t xml:space="preserve">74. Hechos victimizantes</w:t>
      </w:r>
    </w:p>
    <w:bookmarkEnd w:id="255"/>
    <w:bookmarkEnd w:id="256"/>
    <w:bookmarkEnd w:id="257"/>
    <w:bookmarkStart w:id="258" w:name="la-provincia-en-el-sistema-provincial"/>
    <w:p>
      <w:pPr>
        <w:pStyle w:val="Heading2"/>
      </w:pPr>
      <w:r>
        <w:t xml:space="preserve">La Provincia en el sistema provincial</w:t>
      </w:r>
    </w:p>
    <w:p>
      <w:pPr>
        <w:pStyle w:val="FirstParagraph"/>
      </w:pPr>
      <w:r>
        <w:t xml:space="preserve">La Provincia Turística y Agroecológica es una de las once Provincias Administrativas y de Planificación de Antioquia. En conjunto, esas once agrupan 88 de los 125 municipios del departamento, el 11,4 % de su población y el 32,1 % de su territorio; los 37 municipios restantes no pertenecen a ningún esquema asociativo.</w:t>
      </w:r>
    </w:p>
    <w:p>
      <w:pPr>
        <w:pStyle w:val="BodyText"/>
      </w:pPr>
      <w:r>
        <w:t xml:space="preserve">Dentro de ese sistema, esta Provincia ocupa el puesto 6 de 11 en población y el 6 de 11 en extensión, con 7 municipios. Tomando su puesto mediano en los 26 indicadores comparables, se sitúa en el lugar 3 de 11 del conjunto.</w:t>
      </w:r>
    </w:p>
    <w:p>
      <w:pPr>
        <w:pStyle w:val="BodyText"/>
      </w:pPr>
      <w:r>
        <w:t xml:space="preserve">Su posición no es uniforme. Donde mejor se sitúa es en Pobreza multidimensional (IPM), puesto 1, Valor agregado per cápita ($ de 2015), puesto 1 y Pérdida de cobertura arbórea 2001-2023, puesto 1. Donde peor, en IRCA (riesgo de calidad del agua), puesto 5, Deserción escolar, puesto 5 y Hurtos por 100.000 hab., puesto 5. Esa asimetría es lo que distingue a esta Provincia de sus pares y lo que el Plan Estratégico debería tener en cuenta al priorizar: hay dimensiones en las que puede aportar experiencia al sistema y otras en las que le conviene aprender de él.</w:t>
      </w:r>
    </w:p>
    <w:p>
      <w:pPr>
        <w:pStyle w:val="BodyText"/>
      </w:pPr>
      <w:r>
        <w:t xml:space="preserve">El documento comparativo del proyecto —«Las once provincias de Antioquia, comparadas»— desarrolla esta lectura para todo el sistema y recoge las figuras que la sostienen.</w:t>
      </w:r>
    </w:p>
    <w:bookmarkEnd w:id="258"/>
    <w:bookmarkStart w:id="259" w:name="nota-sobre-las-fuentes-y-los-cortes"/>
    <w:p>
      <w:pPr>
        <w:pStyle w:val="Heading2"/>
      </w:pPr>
      <w:r>
        <w:t xml:space="preserve">Nota sobre las fuentes y los cortes</w:t>
      </w:r>
    </w:p>
    <w:p>
      <w:pPr>
        <w:pStyle w:val="FirstParagraph"/>
      </w:pPr>
      <w:r>
        <w:t xml:space="preserve">Las cifras de este borrador provienen de las tablas que produce el flujo del proyecto y son trazables hasta su fuente: cada figura deja sus datos exactos en una hoja del</w:t>
      </w:r>
      <w:r>
        <w:t xml:space="preserve"> </w:t>
      </w:r>
      <w:r>
        <w:rPr>
          <w:rStyle w:val="VerbatimChar"/>
        </w:rPr>
        <w:t xml:space="preserve">.xlsx</w:t>
      </w:r>
      <w:r>
        <w:t xml:space="preserve"> </w:t>
      </w:r>
      <w:r>
        <w:t xml:space="preserve">de su sección.</w:t>
      </w:r>
    </w:p>
    <w:p>
      <w:pPr>
        <w:pStyle w:val="BodyText"/>
      </w:pPr>
      <w:r>
        <w:t xml:space="preserve">El anexo metodológico (</w:t>
      </w:r>
      <w:r>
        <w:rPr>
          <w:rStyle w:val="VerbatimChar"/>
        </w:rPr>
        <w:t xml:space="preserve">04_Docs/anexo_metodologico.pdf</w:t>
      </w:r>
      <w:r>
        <w:t xml:space="preserve">) documenta las fuentes, los protocolos de uso, las reglas de limpieza y agregación, y las limitaciones conocidas que este informe debe declarar al publicar sus cifras.</w:t>
      </w:r>
    </w:p>
    <w:bookmarkEnd w:id="259"/>
    <w:sectPr w:rsidR="006E5286">
      <w:pgSz w:h="15840" w:w="12240"/>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C08DD"/>
    <w:multiLevelType w:val="hybridMultilevel"/>
    <w:tmpl w:val="54B6332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
    <w:nsid w:val="05AF8CDD"/>
    <w:multiLevelType w:val="hybridMultilevel"/>
    <w:tmpl w:val="85B62540"/>
    <w:lvl w:ilvl="0" w:tplc="8CB2086E">
      <w:start w:val="1"/>
      <w:numFmt w:val="bullet"/>
      <w:lvlText w:val=""/>
      <w:lvlJc w:val="left"/>
      <w:pPr>
        <w:ind w:hanging="360" w:left="720"/>
      </w:pPr>
      <w:rPr>
        <w:rFonts w:ascii="Symbol" w:hAnsi="Symbol" w:hint="default"/>
      </w:rPr>
    </w:lvl>
    <w:lvl w:ilvl="1" w:tplc="BAA49C82">
      <w:start w:val="1"/>
      <w:numFmt w:val="bullet"/>
      <w:lvlText w:val="o"/>
      <w:lvlJc w:val="left"/>
      <w:pPr>
        <w:ind w:hanging="360" w:left="1440"/>
      </w:pPr>
      <w:rPr>
        <w:rFonts w:ascii="Courier New" w:hAnsi="Courier New" w:hint="default"/>
      </w:rPr>
    </w:lvl>
    <w:lvl w:ilvl="2" w:tplc="BD8654CE">
      <w:start w:val="1"/>
      <w:numFmt w:val="bullet"/>
      <w:lvlText w:val=""/>
      <w:lvlJc w:val="left"/>
      <w:pPr>
        <w:ind w:hanging="360" w:left="2160"/>
      </w:pPr>
      <w:rPr>
        <w:rFonts w:ascii="Wingdings" w:hAnsi="Wingdings" w:hint="default"/>
      </w:rPr>
    </w:lvl>
    <w:lvl w:ilvl="3" w:tplc="BF48D584">
      <w:start w:val="1"/>
      <w:numFmt w:val="bullet"/>
      <w:lvlText w:val=""/>
      <w:lvlJc w:val="left"/>
      <w:pPr>
        <w:ind w:hanging="360" w:left="2880"/>
      </w:pPr>
      <w:rPr>
        <w:rFonts w:ascii="Symbol" w:hAnsi="Symbol" w:hint="default"/>
      </w:rPr>
    </w:lvl>
    <w:lvl w:ilvl="4" w:tplc="A0D6BA6C">
      <w:start w:val="1"/>
      <w:numFmt w:val="bullet"/>
      <w:lvlText w:val="o"/>
      <w:lvlJc w:val="left"/>
      <w:pPr>
        <w:ind w:hanging="360" w:left="3600"/>
      </w:pPr>
      <w:rPr>
        <w:rFonts w:ascii="Courier New" w:hAnsi="Courier New" w:hint="default"/>
      </w:rPr>
    </w:lvl>
    <w:lvl w:ilvl="5" w:tplc="73F646EE">
      <w:start w:val="1"/>
      <w:numFmt w:val="bullet"/>
      <w:lvlText w:val=""/>
      <w:lvlJc w:val="left"/>
      <w:pPr>
        <w:ind w:hanging="360" w:left="4320"/>
      </w:pPr>
      <w:rPr>
        <w:rFonts w:ascii="Wingdings" w:hAnsi="Wingdings" w:hint="default"/>
      </w:rPr>
    </w:lvl>
    <w:lvl w:ilvl="6" w:tplc="7C425D12">
      <w:start w:val="1"/>
      <w:numFmt w:val="bullet"/>
      <w:lvlText w:val=""/>
      <w:lvlJc w:val="left"/>
      <w:pPr>
        <w:ind w:hanging="360" w:left="5040"/>
      </w:pPr>
      <w:rPr>
        <w:rFonts w:ascii="Symbol" w:hAnsi="Symbol" w:hint="default"/>
      </w:rPr>
    </w:lvl>
    <w:lvl w:ilvl="7" w:tplc="13C4C8F8">
      <w:start w:val="1"/>
      <w:numFmt w:val="bullet"/>
      <w:lvlText w:val="o"/>
      <w:lvlJc w:val="left"/>
      <w:pPr>
        <w:ind w:hanging="360" w:left="5760"/>
      </w:pPr>
      <w:rPr>
        <w:rFonts w:ascii="Courier New" w:hAnsi="Courier New" w:hint="default"/>
      </w:rPr>
    </w:lvl>
    <w:lvl w:ilvl="8" w:tplc="729AE612">
      <w:start w:val="1"/>
      <w:numFmt w:val="bullet"/>
      <w:lvlText w:val=""/>
      <w:lvlJc w:val="left"/>
      <w:pPr>
        <w:ind w:hanging="360" w:left="6480"/>
      </w:pPr>
      <w:rPr>
        <w:rFonts w:ascii="Wingdings" w:hAnsi="Wingdings" w:hint="default"/>
      </w:rPr>
    </w:lvl>
  </w:abstractNum>
  <w:abstractNum w15:restartNumberingAfterBreak="0" w:abstractNumId="2">
    <w:nsid w:val="0914025E"/>
    <w:multiLevelType w:val="hybridMultilevel"/>
    <w:tmpl w:val="E16229B4"/>
    <w:lvl w:ilvl="0" w:tplc="04090017">
      <w:start w:val="1"/>
      <w:numFmt w:val="low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08578BD"/>
    <w:multiLevelType w:val="hybridMultilevel"/>
    <w:tmpl w:val="6C9E4C3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4">
    <w:nsid w:val="164101E8"/>
    <w:multiLevelType w:val="hybridMultilevel"/>
    <w:tmpl w:val="90EE6DD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5">
    <w:nsid w:val="17AE60C3"/>
    <w:multiLevelType w:val="hybridMultilevel"/>
    <w:tmpl w:val="87D6B0D4"/>
    <w:lvl w:ilvl="0" w:tplc="372A9D3A">
      <w:start w:val="1"/>
      <w:numFmt w:val="bullet"/>
      <w:lvlText w:val="·"/>
      <w:lvlJc w:val="left"/>
      <w:pPr>
        <w:ind w:hanging="360" w:left="720"/>
      </w:pPr>
      <w:rPr>
        <w:rFonts w:ascii="Symbol" w:hAnsi="Symbol" w:hint="default"/>
      </w:rPr>
    </w:lvl>
    <w:lvl w:ilvl="1" w:tplc="35FC767C">
      <w:start w:val="1"/>
      <w:numFmt w:val="bullet"/>
      <w:lvlText w:val="o"/>
      <w:lvlJc w:val="left"/>
      <w:pPr>
        <w:ind w:hanging="360" w:left="1440"/>
      </w:pPr>
      <w:rPr>
        <w:rFonts w:ascii="Courier New" w:hAnsi="Courier New" w:hint="default"/>
      </w:rPr>
    </w:lvl>
    <w:lvl w:ilvl="2" w:tplc="145EBAA6">
      <w:start w:val="1"/>
      <w:numFmt w:val="bullet"/>
      <w:lvlText w:val=""/>
      <w:lvlJc w:val="left"/>
      <w:pPr>
        <w:ind w:hanging="360" w:left="2160"/>
      </w:pPr>
      <w:rPr>
        <w:rFonts w:ascii="Wingdings" w:hAnsi="Wingdings" w:hint="default"/>
      </w:rPr>
    </w:lvl>
    <w:lvl w:ilvl="3" w:tplc="1982F3BC">
      <w:start w:val="1"/>
      <w:numFmt w:val="bullet"/>
      <w:lvlText w:val=""/>
      <w:lvlJc w:val="left"/>
      <w:pPr>
        <w:ind w:hanging="360" w:left="2880"/>
      </w:pPr>
      <w:rPr>
        <w:rFonts w:ascii="Symbol" w:hAnsi="Symbol" w:hint="default"/>
      </w:rPr>
    </w:lvl>
    <w:lvl w:ilvl="4" w:tplc="1B1A2978">
      <w:start w:val="1"/>
      <w:numFmt w:val="bullet"/>
      <w:lvlText w:val="o"/>
      <w:lvlJc w:val="left"/>
      <w:pPr>
        <w:ind w:hanging="360" w:left="3600"/>
      </w:pPr>
      <w:rPr>
        <w:rFonts w:ascii="Courier New" w:hAnsi="Courier New" w:hint="default"/>
      </w:rPr>
    </w:lvl>
    <w:lvl w:ilvl="5" w:tplc="5E8A49F0">
      <w:start w:val="1"/>
      <w:numFmt w:val="bullet"/>
      <w:lvlText w:val=""/>
      <w:lvlJc w:val="left"/>
      <w:pPr>
        <w:ind w:hanging="360" w:left="4320"/>
      </w:pPr>
      <w:rPr>
        <w:rFonts w:ascii="Wingdings" w:hAnsi="Wingdings" w:hint="default"/>
      </w:rPr>
    </w:lvl>
    <w:lvl w:ilvl="6" w:tplc="DC9E4DAE">
      <w:start w:val="1"/>
      <w:numFmt w:val="bullet"/>
      <w:lvlText w:val=""/>
      <w:lvlJc w:val="left"/>
      <w:pPr>
        <w:ind w:hanging="360" w:left="5040"/>
      </w:pPr>
      <w:rPr>
        <w:rFonts w:ascii="Symbol" w:hAnsi="Symbol" w:hint="default"/>
      </w:rPr>
    </w:lvl>
    <w:lvl w:ilvl="7" w:tplc="788649D4">
      <w:start w:val="1"/>
      <w:numFmt w:val="bullet"/>
      <w:lvlText w:val="o"/>
      <w:lvlJc w:val="left"/>
      <w:pPr>
        <w:ind w:hanging="360" w:left="5760"/>
      </w:pPr>
      <w:rPr>
        <w:rFonts w:ascii="Courier New" w:hAnsi="Courier New" w:hint="default"/>
      </w:rPr>
    </w:lvl>
    <w:lvl w:ilvl="8" w:tplc="AF282B78">
      <w:start w:val="1"/>
      <w:numFmt w:val="bullet"/>
      <w:lvlText w:val=""/>
      <w:lvlJc w:val="left"/>
      <w:pPr>
        <w:ind w:hanging="360" w:left="6480"/>
      </w:pPr>
      <w:rPr>
        <w:rFonts w:ascii="Wingdings" w:hAnsi="Wingdings" w:hint="default"/>
      </w:rPr>
    </w:lvl>
  </w:abstractNum>
  <w:abstractNum w15:restartNumberingAfterBreak="0" w:abstractNumId="6">
    <w:nsid w:val="2586331E"/>
    <w:multiLevelType w:val="hybridMultilevel"/>
    <w:tmpl w:val="A4C46CB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7">
    <w:nsid w:val="26C6971F"/>
    <w:multiLevelType w:val="hybridMultilevel"/>
    <w:tmpl w:val="F3D0F61A"/>
    <w:lvl w:ilvl="0" w:tplc="00A03A86">
      <w:start w:val="1"/>
      <w:numFmt w:val="bullet"/>
      <w:lvlText w:val=""/>
      <w:lvlJc w:val="left"/>
      <w:pPr>
        <w:ind w:hanging="360" w:left="720"/>
      </w:pPr>
      <w:rPr>
        <w:rFonts w:ascii="Symbol" w:hAnsi="Symbol" w:hint="default"/>
      </w:rPr>
    </w:lvl>
    <w:lvl w:ilvl="1" w:tplc="7D301EF0">
      <w:start w:val="1"/>
      <w:numFmt w:val="bullet"/>
      <w:lvlText w:val="o"/>
      <w:lvlJc w:val="left"/>
      <w:pPr>
        <w:ind w:hanging="360" w:left="1440"/>
      </w:pPr>
      <w:rPr>
        <w:rFonts w:ascii="Courier New" w:hAnsi="Courier New" w:hint="default"/>
      </w:rPr>
    </w:lvl>
    <w:lvl w:ilvl="2" w:tplc="67D020EE">
      <w:start w:val="1"/>
      <w:numFmt w:val="bullet"/>
      <w:lvlText w:val=""/>
      <w:lvlJc w:val="left"/>
      <w:pPr>
        <w:ind w:hanging="360" w:left="2160"/>
      </w:pPr>
      <w:rPr>
        <w:rFonts w:ascii="Wingdings" w:hAnsi="Wingdings" w:hint="default"/>
      </w:rPr>
    </w:lvl>
    <w:lvl w:ilvl="3" w:tplc="AAAAEB14">
      <w:start w:val="1"/>
      <w:numFmt w:val="bullet"/>
      <w:lvlText w:val=""/>
      <w:lvlJc w:val="left"/>
      <w:pPr>
        <w:ind w:hanging="360" w:left="2880"/>
      </w:pPr>
      <w:rPr>
        <w:rFonts w:ascii="Symbol" w:hAnsi="Symbol" w:hint="default"/>
      </w:rPr>
    </w:lvl>
    <w:lvl w:ilvl="4" w:tplc="10D0598E">
      <w:start w:val="1"/>
      <w:numFmt w:val="bullet"/>
      <w:lvlText w:val="o"/>
      <w:lvlJc w:val="left"/>
      <w:pPr>
        <w:ind w:hanging="360" w:left="3600"/>
      </w:pPr>
      <w:rPr>
        <w:rFonts w:ascii="Courier New" w:hAnsi="Courier New" w:hint="default"/>
      </w:rPr>
    </w:lvl>
    <w:lvl w:ilvl="5" w:tplc="2F983DA4">
      <w:start w:val="1"/>
      <w:numFmt w:val="bullet"/>
      <w:lvlText w:val=""/>
      <w:lvlJc w:val="left"/>
      <w:pPr>
        <w:ind w:hanging="360" w:left="4320"/>
      </w:pPr>
      <w:rPr>
        <w:rFonts w:ascii="Wingdings" w:hAnsi="Wingdings" w:hint="default"/>
      </w:rPr>
    </w:lvl>
    <w:lvl w:ilvl="6" w:tplc="270095CE">
      <w:start w:val="1"/>
      <w:numFmt w:val="bullet"/>
      <w:lvlText w:val=""/>
      <w:lvlJc w:val="left"/>
      <w:pPr>
        <w:ind w:hanging="360" w:left="5040"/>
      </w:pPr>
      <w:rPr>
        <w:rFonts w:ascii="Symbol" w:hAnsi="Symbol" w:hint="default"/>
      </w:rPr>
    </w:lvl>
    <w:lvl w:ilvl="7" w:tplc="74323054">
      <w:start w:val="1"/>
      <w:numFmt w:val="bullet"/>
      <w:lvlText w:val="o"/>
      <w:lvlJc w:val="left"/>
      <w:pPr>
        <w:ind w:hanging="360" w:left="5760"/>
      </w:pPr>
      <w:rPr>
        <w:rFonts w:ascii="Courier New" w:hAnsi="Courier New" w:hint="default"/>
      </w:rPr>
    </w:lvl>
    <w:lvl w:ilvl="8" w:tplc="53A437B2">
      <w:start w:val="1"/>
      <w:numFmt w:val="bullet"/>
      <w:lvlText w:val=""/>
      <w:lvlJc w:val="left"/>
      <w:pPr>
        <w:ind w:hanging="360" w:left="6480"/>
      </w:pPr>
      <w:rPr>
        <w:rFonts w:ascii="Wingdings" w:hAnsi="Wingdings" w:hint="default"/>
      </w:rPr>
    </w:lvl>
  </w:abstractNum>
  <w:abstractNum w15:restartNumberingAfterBreak="0" w:abstractNumId="8">
    <w:nsid w:val="274B42C1"/>
    <w:multiLevelType w:val="hybridMultilevel"/>
    <w:tmpl w:val="13AC1042"/>
    <w:lvl w:ilvl="0" w:tplc="FFE4847C">
      <w:start w:val="1"/>
      <w:numFmt w:val="bullet"/>
      <w:lvlText w:val=""/>
      <w:lvlJc w:val="left"/>
      <w:pPr>
        <w:ind w:hanging="360" w:left="720"/>
      </w:pPr>
      <w:rPr>
        <w:rFonts w:ascii="Symbol" w:hAnsi="Symbol" w:hint="default"/>
      </w:rPr>
    </w:lvl>
    <w:lvl w:ilvl="1" w:tplc="2CD080A2">
      <w:start w:val="1"/>
      <w:numFmt w:val="bullet"/>
      <w:lvlText w:val="o"/>
      <w:lvlJc w:val="left"/>
      <w:pPr>
        <w:ind w:hanging="360" w:left="1440"/>
      </w:pPr>
      <w:rPr>
        <w:rFonts w:ascii="Courier New" w:hAnsi="Courier New" w:hint="default"/>
      </w:rPr>
    </w:lvl>
    <w:lvl w:ilvl="2" w:tplc="5F2455B8">
      <w:start w:val="1"/>
      <w:numFmt w:val="bullet"/>
      <w:lvlText w:val=""/>
      <w:lvlJc w:val="left"/>
      <w:pPr>
        <w:ind w:hanging="360" w:left="2160"/>
      </w:pPr>
      <w:rPr>
        <w:rFonts w:ascii="Wingdings" w:hAnsi="Wingdings" w:hint="default"/>
      </w:rPr>
    </w:lvl>
    <w:lvl w:ilvl="3" w:tplc="FAD2E57A">
      <w:start w:val="1"/>
      <w:numFmt w:val="bullet"/>
      <w:lvlText w:val=""/>
      <w:lvlJc w:val="left"/>
      <w:pPr>
        <w:ind w:hanging="360" w:left="2880"/>
      </w:pPr>
      <w:rPr>
        <w:rFonts w:ascii="Symbol" w:hAnsi="Symbol" w:hint="default"/>
      </w:rPr>
    </w:lvl>
    <w:lvl w:ilvl="4" w:tplc="290AC8A6">
      <w:start w:val="1"/>
      <w:numFmt w:val="bullet"/>
      <w:lvlText w:val="o"/>
      <w:lvlJc w:val="left"/>
      <w:pPr>
        <w:ind w:hanging="360" w:left="3600"/>
      </w:pPr>
      <w:rPr>
        <w:rFonts w:ascii="Courier New" w:hAnsi="Courier New" w:hint="default"/>
      </w:rPr>
    </w:lvl>
    <w:lvl w:ilvl="5" w:tplc="32565CB2">
      <w:start w:val="1"/>
      <w:numFmt w:val="bullet"/>
      <w:lvlText w:val=""/>
      <w:lvlJc w:val="left"/>
      <w:pPr>
        <w:ind w:hanging="360" w:left="4320"/>
      </w:pPr>
      <w:rPr>
        <w:rFonts w:ascii="Wingdings" w:hAnsi="Wingdings" w:hint="default"/>
      </w:rPr>
    </w:lvl>
    <w:lvl w:ilvl="6" w:tplc="7E8EB19C">
      <w:start w:val="1"/>
      <w:numFmt w:val="bullet"/>
      <w:lvlText w:val=""/>
      <w:lvlJc w:val="left"/>
      <w:pPr>
        <w:ind w:hanging="360" w:left="5040"/>
      </w:pPr>
      <w:rPr>
        <w:rFonts w:ascii="Symbol" w:hAnsi="Symbol" w:hint="default"/>
      </w:rPr>
    </w:lvl>
    <w:lvl w:ilvl="7" w:tplc="5EA66A04">
      <w:start w:val="1"/>
      <w:numFmt w:val="bullet"/>
      <w:lvlText w:val="o"/>
      <w:lvlJc w:val="left"/>
      <w:pPr>
        <w:ind w:hanging="360" w:left="5760"/>
      </w:pPr>
      <w:rPr>
        <w:rFonts w:ascii="Courier New" w:hAnsi="Courier New" w:hint="default"/>
      </w:rPr>
    </w:lvl>
    <w:lvl w:ilvl="8" w:tplc="B204DFC0">
      <w:start w:val="1"/>
      <w:numFmt w:val="bullet"/>
      <w:lvlText w:val=""/>
      <w:lvlJc w:val="left"/>
      <w:pPr>
        <w:ind w:hanging="360" w:left="6480"/>
      </w:pPr>
      <w:rPr>
        <w:rFonts w:ascii="Wingdings" w:hAnsi="Wingdings" w:hint="default"/>
      </w:rPr>
    </w:lvl>
  </w:abstractNum>
  <w:abstractNum w15:restartNumberingAfterBreak="0" w:abstractNumId="9">
    <w:nsid w:val="33E62123"/>
    <w:multiLevelType w:val="hybridMultilevel"/>
    <w:tmpl w:val="647AFF10"/>
    <w:lvl w:ilvl="0" w:tplc="B0FE9326">
      <w:start w:val="1"/>
      <w:numFmt w:val="bullet"/>
      <w:lvlText w:val=""/>
      <w:lvlJc w:val="left"/>
      <w:pPr>
        <w:ind w:hanging="360" w:left="720"/>
      </w:pPr>
      <w:rPr>
        <w:rFonts w:ascii="Symbol" w:hAnsi="Symbol" w:hint="default"/>
      </w:rPr>
    </w:lvl>
    <w:lvl w:ilvl="1" w:tplc="8222E992">
      <w:start w:val="1"/>
      <w:numFmt w:val="bullet"/>
      <w:lvlText w:val="o"/>
      <w:lvlJc w:val="left"/>
      <w:pPr>
        <w:ind w:hanging="360" w:left="1440"/>
      </w:pPr>
      <w:rPr>
        <w:rFonts w:ascii="Courier New" w:hAnsi="Courier New" w:hint="default"/>
      </w:rPr>
    </w:lvl>
    <w:lvl w:ilvl="2" w:tplc="3EB2951E">
      <w:start w:val="1"/>
      <w:numFmt w:val="bullet"/>
      <w:lvlText w:val=""/>
      <w:lvlJc w:val="left"/>
      <w:pPr>
        <w:ind w:hanging="360" w:left="2160"/>
      </w:pPr>
      <w:rPr>
        <w:rFonts w:ascii="Wingdings" w:hAnsi="Wingdings" w:hint="default"/>
      </w:rPr>
    </w:lvl>
    <w:lvl w:ilvl="3" w:tplc="19B2008E">
      <w:start w:val="1"/>
      <w:numFmt w:val="bullet"/>
      <w:lvlText w:val=""/>
      <w:lvlJc w:val="left"/>
      <w:pPr>
        <w:ind w:hanging="360" w:left="2880"/>
      </w:pPr>
      <w:rPr>
        <w:rFonts w:ascii="Symbol" w:hAnsi="Symbol" w:hint="default"/>
      </w:rPr>
    </w:lvl>
    <w:lvl w:ilvl="4" w:tplc="BA5831E2">
      <w:start w:val="1"/>
      <w:numFmt w:val="bullet"/>
      <w:lvlText w:val="o"/>
      <w:lvlJc w:val="left"/>
      <w:pPr>
        <w:ind w:hanging="360" w:left="3600"/>
      </w:pPr>
      <w:rPr>
        <w:rFonts w:ascii="Courier New" w:hAnsi="Courier New" w:hint="default"/>
      </w:rPr>
    </w:lvl>
    <w:lvl w:ilvl="5" w:tplc="0C241118">
      <w:start w:val="1"/>
      <w:numFmt w:val="bullet"/>
      <w:lvlText w:val=""/>
      <w:lvlJc w:val="left"/>
      <w:pPr>
        <w:ind w:hanging="360" w:left="4320"/>
      </w:pPr>
      <w:rPr>
        <w:rFonts w:ascii="Wingdings" w:hAnsi="Wingdings" w:hint="default"/>
      </w:rPr>
    </w:lvl>
    <w:lvl w:ilvl="6" w:tplc="28AC9608">
      <w:start w:val="1"/>
      <w:numFmt w:val="bullet"/>
      <w:lvlText w:val=""/>
      <w:lvlJc w:val="left"/>
      <w:pPr>
        <w:ind w:hanging="360" w:left="5040"/>
      </w:pPr>
      <w:rPr>
        <w:rFonts w:ascii="Symbol" w:hAnsi="Symbol" w:hint="default"/>
      </w:rPr>
    </w:lvl>
    <w:lvl w:ilvl="7" w:tplc="195A07AE">
      <w:start w:val="1"/>
      <w:numFmt w:val="bullet"/>
      <w:lvlText w:val="o"/>
      <w:lvlJc w:val="left"/>
      <w:pPr>
        <w:ind w:hanging="360" w:left="5760"/>
      </w:pPr>
      <w:rPr>
        <w:rFonts w:ascii="Courier New" w:hAnsi="Courier New" w:hint="default"/>
      </w:rPr>
    </w:lvl>
    <w:lvl w:ilvl="8" w:tplc="2006F1AA">
      <w:start w:val="1"/>
      <w:numFmt w:val="bullet"/>
      <w:lvlText w:val=""/>
      <w:lvlJc w:val="left"/>
      <w:pPr>
        <w:ind w:hanging="360" w:left="6480"/>
      </w:pPr>
      <w:rPr>
        <w:rFonts w:ascii="Wingdings" w:hAnsi="Wingdings" w:hint="default"/>
      </w:rPr>
    </w:lvl>
  </w:abstractNum>
  <w:abstractNum w15:restartNumberingAfterBreak="0" w:abstractNumId="10">
    <w:nsid w:val="34235F35"/>
    <w:multiLevelType w:val="hybridMultilevel"/>
    <w:tmpl w:val="62E6743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37417189"/>
    <w:multiLevelType w:val="hybridMultilevel"/>
    <w:tmpl w:val="BA3883D2"/>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2">
    <w:nsid w:val="378D69FB"/>
    <w:multiLevelType w:val="hybridMultilevel"/>
    <w:tmpl w:val="3676BDE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A700F35"/>
    <w:multiLevelType w:val="hybridMultilevel"/>
    <w:tmpl w:val="2F9E0B4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4">
    <w:nsid w:val="3C7A4701"/>
    <w:multiLevelType w:val="hybridMultilevel"/>
    <w:tmpl w:val="648E3C2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5">
    <w:nsid w:val="47ED053C"/>
    <w:multiLevelType w:val="hybridMultilevel"/>
    <w:tmpl w:val="E29E51EE"/>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6">
    <w:nsid w:val="48EA0CD0"/>
    <w:multiLevelType w:val="hybridMultilevel"/>
    <w:tmpl w:val="922ABCE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7">
    <w:nsid w:val="4AA1DB6B"/>
    <w:multiLevelType w:val="hybridMultilevel"/>
    <w:tmpl w:val="2C96FE44"/>
    <w:lvl w:ilvl="0" w:tplc="1A126BE2">
      <w:start w:val="1"/>
      <w:numFmt w:val="bullet"/>
      <w:lvlText w:val="·"/>
      <w:lvlJc w:val="left"/>
      <w:pPr>
        <w:ind w:hanging="360" w:left="720"/>
      </w:pPr>
      <w:rPr>
        <w:rFonts w:ascii="Symbol" w:hAnsi="Symbol" w:hint="default"/>
      </w:rPr>
    </w:lvl>
    <w:lvl w:ilvl="1" w:tplc="4FA00A84">
      <w:start w:val="1"/>
      <w:numFmt w:val="bullet"/>
      <w:lvlText w:val="o"/>
      <w:lvlJc w:val="left"/>
      <w:pPr>
        <w:ind w:hanging="360" w:left="1440"/>
      </w:pPr>
      <w:rPr>
        <w:rFonts w:ascii="Courier New" w:hAnsi="Courier New" w:hint="default"/>
      </w:rPr>
    </w:lvl>
    <w:lvl w:ilvl="2" w:tplc="A6245810">
      <w:start w:val="1"/>
      <w:numFmt w:val="bullet"/>
      <w:lvlText w:val=""/>
      <w:lvlJc w:val="left"/>
      <w:pPr>
        <w:ind w:hanging="360" w:left="2160"/>
      </w:pPr>
      <w:rPr>
        <w:rFonts w:ascii="Wingdings" w:hAnsi="Wingdings" w:hint="default"/>
      </w:rPr>
    </w:lvl>
    <w:lvl w:ilvl="3" w:tplc="EF7031DE">
      <w:start w:val="1"/>
      <w:numFmt w:val="bullet"/>
      <w:lvlText w:val=""/>
      <w:lvlJc w:val="left"/>
      <w:pPr>
        <w:ind w:hanging="360" w:left="2880"/>
      </w:pPr>
      <w:rPr>
        <w:rFonts w:ascii="Symbol" w:hAnsi="Symbol" w:hint="default"/>
      </w:rPr>
    </w:lvl>
    <w:lvl w:ilvl="4" w:tplc="8474FC06">
      <w:start w:val="1"/>
      <w:numFmt w:val="bullet"/>
      <w:lvlText w:val="o"/>
      <w:lvlJc w:val="left"/>
      <w:pPr>
        <w:ind w:hanging="360" w:left="3600"/>
      </w:pPr>
      <w:rPr>
        <w:rFonts w:ascii="Courier New" w:hAnsi="Courier New" w:hint="default"/>
      </w:rPr>
    </w:lvl>
    <w:lvl w:ilvl="5" w:tplc="FDC89FCE">
      <w:start w:val="1"/>
      <w:numFmt w:val="bullet"/>
      <w:lvlText w:val=""/>
      <w:lvlJc w:val="left"/>
      <w:pPr>
        <w:ind w:hanging="360" w:left="4320"/>
      </w:pPr>
      <w:rPr>
        <w:rFonts w:ascii="Wingdings" w:hAnsi="Wingdings" w:hint="default"/>
      </w:rPr>
    </w:lvl>
    <w:lvl w:ilvl="6" w:tplc="256ABA88">
      <w:start w:val="1"/>
      <w:numFmt w:val="bullet"/>
      <w:lvlText w:val=""/>
      <w:lvlJc w:val="left"/>
      <w:pPr>
        <w:ind w:hanging="360" w:left="5040"/>
      </w:pPr>
      <w:rPr>
        <w:rFonts w:ascii="Symbol" w:hAnsi="Symbol" w:hint="default"/>
      </w:rPr>
    </w:lvl>
    <w:lvl w:ilvl="7" w:tplc="A1B2B442">
      <w:start w:val="1"/>
      <w:numFmt w:val="bullet"/>
      <w:lvlText w:val="o"/>
      <w:lvlJc w:val="left"/>
      <w:pPr>
        <w:ind w:hanging="360" w:left="5760"/>
      </w:pPr>
      <w:rPr>
        <w:rFonts w:ascii="Courier New" w:hAnsi="Courier New" w:hint="default"/>
      </w:rPr>
    </w:lvl>
    <w:lvl w:ilvl="8" w:tplc="F1283574">
      <w:start w:val="1"/>
      <w:numFmt w:val="bullet"/>
      <w:lvlText w:val=""/>
      <w:lvlJc w:val="left"/>
      <w:pPr>
        <w:ind w:hanging="360" w:left="6480"/>
      </w:pPr>
      <w:rPr>
        <w:rFonts w:ascii="Wingdings" w:hAnsi="Wingdings" w:hint="default"/>
      </w:rPr>
    </w:lvl>
  </w:abstractNum>
  <w:abstractNum w15:restartNumberingAfterBreak="0" w:abstractNumId="18">
    <w:nsid w:val="4EBF4CAA"/>
    <w:multiLevelType w:val="hybridMultilevel"/>
    <w:tmpl w:val="D9CE713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9">
    <w:nsid w:val="573B38BF"/>
    <w:multiLevelType w:val="hybridMultilevel"/>
    <w:tmpl w:val="BCB02F9E"/>
    <w:lvl w:ilvl="0" w:tplc="30A46D30">
      <w:start w:val="1"/>
      <w:numFmt w:val="bullet"/>
      <w:lvlText w:val=""/>
      <w:lvlJc w:val="left"/>
      <w:pPr>
        <w:ind w:hanging="360" w:left="720"/>
      </w:pPr>
      <w:rPr>
        <w:rFonts w:ascii="Symbol" w:hAnsi="Symbol" w:hint="default"/>
      </w:rPr>
    </w:lvl>
    <w:lvl w:ilvl="1" w:tplc="37ECE582">
      <w:start w:val="1"/>
      <w:numFmt w:val="bullet"/>
      <w:lvlText w:val="o"/>
      <w:lvlJc w:val="left"/>
      <w:pPr>
        <w:ind w:hanging="360" w:left="1440"/>
      </w:pPr>
      <w:rPr>
        <w:rFonts w:ascii="Courier New" w:hAnsi="Courier New" w:hint="default"/>
      </w:rPr>
    </w:lvl>
    <w:lvl w:ilvl="2" w:tplc="2BC46F48">
      <w:start w:val="1"/>
      <w:numFmt w:val="bullet"/>
      <w:lvlText w:val=""/>
      <w:lvlJc w:val="left"/>
      <w:pPr>
        <w:ind w:hanging="360" w:left="2160"/>
      </w:pPr>
      <w:rPr>
        <w:rFonts w:ascii="Wingdings" w:hAnsi="Wingdings" w:hint="default"/>
      </w:rPr>
    </w:lvl>
    <w:lvl w:ilvl="3" w:tplc="7DE4F91C">
      <w:start w:val="1"/>
      <w:numFmt w:val="bullet"/>
      <w:lvlText w:val=""/>
      <w:lvlJc w:val="left"/>
      <w:pPr>
        <w:ind w:hanging="360" w:left="2880"/>
      </w:pPr>
      <w:rPr>
        <w:rFonts w:ascii="Symbol" w:hAnsi="Symbol" w:hint="default"/>
      </w:rPr>
    </w:lvl>
    <w:lvl w:ilvl="4" w:tplc="7090DB5C">
      <w:start w:val="1"/>
      <w:numFmt w:val="bullet"/>
      <w:lvlText w:val="o"/>
      <w:lvlJc w:val="left"/>
      <w:pPr>
        <w:ind w:hanging="360" w:left="3600"/>
      </w:pPr>
      <w:rPr>
        <w:rFonts w:ascii="Courier New" w:hAnsi="Courier New" w:hint="default"/>
      </w:rPr>
    </w:lvl>
    <w:lvl w:ilvl="5" w:tplc="E43A45F2">
      <w:start w:val="1"/>
      <w:numFmt w:val="bullet"/>
      <w:lvlText w:val=""/>
      <w:lvlJc w:val="left"/>
      <w:pPr>
        <w:ind w:hanging="360" w:left="4320"/>
      </w:pPr>
      <w:rPr>
        <w:rFonts w:ascii="Wingdings" w:hAnsi="Wingdings" w:hint="default"/>
      </w:rPr>
    </w:lvl>
    <w:lvl w:ilvl="6" w:tplc="D3BC85DC">
      <w:start w:val="1"/>
      <w:numFmt w:val="bullet"/>
      <w:lvlText w:val=""/>
      <w:lvlJc w:val="left"/>
      <w:pPr>
        <w:ind w:hanging="360" w:left="5040"/>
      </w:pPr>
      <w:rPr>
        <w:rFonts w:ascii="Symbol" w:hAnsi="Symbol" w:hint="default"/>
      </w:rPr>
    </w:lvl>
    <w:lvl w:ilvl="7" w:tplc="DECE1AF8">
      <w:start w:val="1"/>
      <w:numFmt w:val="bullet"/>
      <w:lvlText w:val="o"/>
      <w:lvlJc w:val="left"/>
      <w:pPr>
        <w:ind w:hanging="360" w:left="5760"/>
      </w:pPr>
      <w:rPr>
        <w:rFonts w:ascii="Courier New" w:hAnsi="Courier New" w:hint="default"/>
      </w:rPr>
    </w:lvl>
    <w:lvl w:ilvl="8" w:tplc="F88CA44C">
      <w:start w:val="1"/>
      <w:numFmt w:val="bullet"/>
      <w:lvlText w:val=""/>
      <w:lvlJc w:val="left"/>
      <w:pPr>
        <w:ind w:hanging="360" w:left="6480"/>
      </w:pPr>
      <w:rPr>
        <w:rFonts w:ascii="Wingdings" w:hAnsi="Wingdings" w:hint="default"/>
      </w:rPr>
    </w:lvl>
  </w:abstractNum>
  <w:abstractNum w15:restartNumberingAfterBreak="0" w:abstractNumId="20">
    <w:nsid w:val="57F63695"/>
    <w:multiLevelType w:val="hybridMultilevel"/>
    <w:tmpl w:val="5680E3D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1">
    <w:nsid w:val="6984BE8D"/>
    <w:multiLevelType w:val="hybridMultilevel"/>
    <w:tmpl w:val="D1427294"/>
    <w:lvl w:ilvl="0" w:tplc="1102CF0A">
      <w:start w:val="1"/>
      <w:numFmt w:val="bullet"/>
      <w:lvlText w:val=""/>
      <w:lvlJc w:val="left"/>
      <w:pPr>
        <w:ind w:hanging="360" w:left="720"/>
      </w:pPr>
      <w:rPr>
        <w:rFonts w:ascii="Symbol" w:hAnsi="Symbol" w:hint="default"/>
      </w:rPr>
    </w:lvl>
    <w:lvl w:ilvl="1" w:tplc="4EEAD3CC">
      <w:start w:val="1"/>
      <w:numFmt w:val="bullet"/>
      <w:lvlText w:val="o"/>
      <w:lvlJc w:val="left"/>
      <w:pPr>
        <w:ind w:hanging="360" w:left="1440"/>
      </w:pPr>
      <w:rPr>
        <w:rFonts w:ascii="Courier New" w:hAnsi="Courier New" w:hint="default"/>
      </w:rPr>
    </w:lvl>
    <w:lvl w:ilvl="2" w:tplc="DF94E2FA">
      <w:start w:val="1"/>
      <w:numFmt w:val="bullet"/>
      <w:lvlText w:val=""/>
      <w:lvlJc w:val="left"/>
      <w:pPr>
        <w:ind w:hanging="360" w:left="2160"/>
      </w:pPr>
      <w:rPr>
        <w:rFonts w:ascii="Wingdings" w:hAnsi="Wingdings" w:hint="default"/>
      </w:rPr>
    </w:lvl>
    <w:lvl w:ilvl="3" w:tplc="103421C6">
      <w:start w:val="1"/>
      <w:numFmt w:val="bullet"/>
      <w:lvlText w:val=""/>
      <w:lvlJc w:val="left"/>
      <w:pPr>
        <w:ind w:hanging="360" w:left="2880"/>
      </w:pPr>
      <w:rPr>
        <w:rFonts w:ascii="Symbol" w:hAnsi="Symbol" w:hint="default"/>
      </w:rPr>
    </w:lvl>
    <w:lvl w:ilvl="4" w:tplc="157CAD12">
      <w:start w:val="1"/>
      <w:numFmt w:val="bullet"/>
      <w:lvlText w:val="o"/>
      <w:lvlJc w:val="left"/>
      <w:pPr>
        <w:ind w:hanging="360" w:left="3600"/>
      </w:pPr>
      <w:rPr>
        <w:rFonts w:ascii="Courier New" w:hAnsi="Courier New" w:hint="default"/>
      </w:rPr>
    </w:lvl>
    <w:lvl w:ilvl="5" w:tplc="021646FC">
      <w:start w:val="1"/>
      <w:numFmt w:val="bullet"/>
      <w:lvlText w:val=""/>
      <w:lvlJc w:val="left"/>
      <w:pPr>
        <w:ind w:hanging="360" w:left="4320"/>
      </w:pPr>
      <w:rPr>
        <w:rFonts w:ascii="Wingdings" w:hAnsi="Wingdings" w:hint="default"/>
      </w:rPr>
    </w:lvl>
    <w:lvl w:ilvl="6" w:tplc="C81C68E8">
      <w:start w:val="1"/>
      <w:numFmt w:val="bullet"/>
      <w:lvlText w:val=""/>
      <w:lvlJc w:val="left"/>
      <w:pPr>
        <w:ind w:hanging="360" w:left="5040"/>
      </w:pPr>
      <w:rPr>
        <w:rFonts w:ascii="Symbol" w:hAnsi="Symbol" w:hint="default"/>
      </w:rPr>
    </w:lvl>
    <w:lvl w:ilvl="7" w:tplc="1C80DBE2">
      <w:start w:val="1"/>
      <w:numFmt w:val="bullet"/>
      <w:lvlText w:val="o"/>
      <w:lvlJc w:val="left"/>
      <w:pPr>
        <w:ind w:hanging="360" w:left="5760"/>
      </w:pPr>
      <w:rPr>
        <w:rFonts w:ascii="Courier New" w:hAnsi="Courier New" w:hint="default"/>
      </w:rPr>
    </w:lvl>
    <w:lvl w:ilvl="8" w:tplc="FE5CC1E6">
      <w:start w:val="1"/>
      <w:numFmt w:val="bullet"/>
      <w:lvlText w:val=""/>
      <w:lvlJc w:val="left"/>
      <w:pPr>
        <w:ind w:hanging="360" w:left="6480"/>
      </w:pPr>
      <w:rPr>
        <w:rFonts w:ascii="Wingdings" w:hAnsi="Wingdings" w:hint="default"/>
      </w:rPr>
    </w:lvl>
  </w:abstractNum>
  <w:abstractNum w15:restartNumberingAfterBreak="0" w:abstractNumId="22">
    <w:nsid w:val="698B5267"/>
    <w:multiLevelType w:val="hybridMultilevel"/>
    <w:tmpl w:val="D59C38A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A6279EB"/>
    <w:multiLevelType w:val="hybridMultilevel"/>
    <w:tmpl w:val="0832B3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722D6B31"/>
    <w:multiLevelType w:val="hybridMultilevel"/>
    <w:tmpl w:val="05583CF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5">
    <w:nsid w:val="76321E4C"/>
    <w:multiLevelType w:val="hybridMultilevel"/>
    <w:tmpl w:val="0C2C6F3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6">
    <w:nsid w:val="7ED74F24"/>
    <w:multiLevelType w:val="hybridMultilevel"/>
    <w:tmpl w:val="CB2ABA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w:themeFontLang w:eastAsia="zh-CN" w:val="es-CO"/>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s"/>
        <w14:ligatures w14:val="standardContextual"/>
      </w:rPr>
    </w:rPrDefault>
    <w:pPrDefault>
      <w:pPr>
        <w:spacing w:after="120" w:before="120"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63D8"/>
  </w:style>
  <w:style w:styleId="Heading1" w:type="paragraph">
    <w:name w:val="heading 1"/>
    <w:basedOn w:val="Normal"/>
    <w:next w:val="Normal"/>
    <w:link w:val="Heading1Char"/>
    <w:uiPriority w:val="9"/>
    <w:qFormat/>
    <w:rsid w:val="004863D8"/>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4863D8"/>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4863D8"/>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4863D8"/>
    <w:pPr>
      <w:keepNext/>
      <w:keepLines/>
      <w:spacing w:after="0" w:before="80" w:line="288" w:lineRule="auto"/>
      <w:outlineLvl w:val="3"/>
    </w:pPr>
    <w:rPr>
      <w:rFonts w:asciiTheme="majorHAnsi" w:cstheme="majorBidi" w:eastAsiaTheme="majorEastAsia" w:hAnsiTheme="majorHAnsi"/>
      <w:color w:themeColor="accent6" w:val="70AD47"/>
      <w:kern w:val="0"/>
      <w:lang w:eastAsia="zh-CN"/>
      <w14:ligatures w14:val="none"/>
    </w:rPr>
  </w:style>
  <w:style w:styleId="Heading5" w:type="paragraph">
    <w:name w:val="heading 5"/>
    <w:basedOn w:val="Normal"/>
    <w:next w:val="Normal"/>
    <w:link w:val="Heading5Char"/>
    <w:uiPriority w:val="9"/>
    <w:unhideWhenUsed/>
    <w:qFormat/>
    <w:rsid w:val="004863D8"/>
    <w:pPr>
      <w:keepNext/>
      <w:keepLines/>
      <w:spacing w:after="0" w:before="40" w:line="288" w:lineRule="auto"/>
      <w:outlineLvl w:val="4"/>
    </w:pPr>
    <w:rPr>
      <w:rFonts w:asciiTheme="majorHAnsi" w:cstheme="majorBidi" w:eastAsiaTheme="majorEastAsia" w:hAnsiTheme="majorHAnsi"/>
      <w:i/>
      <w:iCs/>
      <w:color w:themeColor="accent6" w:val="70AD47"/>
      <w:kern w:val="0"/>
      <w:lang w:eastAsia="zh-CN"/>
      <w14:ligatures w14:val="none"/>
    </w:rPr>
  </w:style>
  <w:style w:styleId="Heading6" w:type="paragraph">
    <w:name w:val="heading 6"/>
    <w:basedOn w:val="Normal"/>
    <w:next w:val="Normal"/>
    <w:link w:val="Heading6Char"/>
    <w:uiPriority w:val="9"/>
    <w:semiHidden/>
    <w:unhideWhenUsed/>
    <w:qFormat/>
    <w:rsid w:val="004863D8"/>
    <w:pPr>
      <w:keepNext/>
      <w:keepLines/>
      <w:spacing w:after="0" w:before="40" w:line="288" w:lineRule="auto"/>
      <w:outlineLvl w:val="5"/>
    </w:pPr>
    <w:rPr>
      <w:rFonts w:asciiTheme="majorHAnsi" w:cstheme="majorBidi" w:eastAsiaTheme="majorEastAsia" w:hAnsiTheme="majorHAnsi"/>
      <w:color w:themeColor="accent6" w:val="70AD47"/>
      <w:kern w:val="0"/>
      <w:sz w:val="21"/>
      <w:szCs w:val="21"/>
      <w:lang w:eastAsia="zh-CN"/>
      <w14:ligatures w14:val="none"/>
    </w:rPr>
  </w:style>
  <w:style w:styleId="Heading7" w:type="paragraph">
    <w:name w:val="heading 7"/>
    <w:basedOn w:val="Normal"/>
    <w:next w:val="Normal"/>
    <w:link w:val="Heading7Char"/>
    <w:uiPriority w:val="9"/>
    <w:semiHidden/>
    <w:unhideWhenUsed/>
    <w:qFormat/>
    <w:rsid w:val="004863D8"/>
    <w:pPr>
      <w:keepNext/>
      <w:keepLines/>
      <w:spacing w:after="0" w:before="40" w:line="288" w:lineRule="auto"/>
      <w:outlineLvl w:val="6"/>
    </w:pPr>
    <w:rPr>
      <w:rFonts w:asciiTheme="majorHAnsi" w:cstheme="majorBidi" w:eastAsiaTheme="majorEastAsia" w:hAnsiTheme="majorHAnsi"/>
      <w:b/>
      <w:bCs/>
      <w:color w:themeColor="accent6" w:val="70AD47"/>
      <w:kern w:val="0"/>
      <w:sz w:val="21"/>
      <w:szCs w:val="21"/>
      <w:lang w:eastAsia="zh-CN"/>
      <w14:ligatures w14:val="none"/>
    </w:rPr>
  </w:style>
  <w:style w:styleId="Heading8" w:type="paragraph">
    <w:name w:val="heading 8"/>
    <w:basedOn w:val="Normal"/>
    <w:next w:val="Normal"/>
    <w:link w:val="Heading8Char"/>
    <w:uiPriority w:val="9"/>
    <w:semiHidden/>
    <w:unhideWhenUsed/>
    <w:qFormat/>
    <w:rsid w:val="004863D8"/>
    <w:pPr>
      <w:keepNext/>
      <w:keepLines/>
      <w:spacing w:after="0" w:before="40" w:line="288" w:lineRule="auto"/>
      <w:outlineLvl w:val="7"/>
    </w:pPr>
    <w:rPr>
      <w:rFonts w:asciiTheme="majorHAnsi" w:cstheme="majorBidi" w:eastAsiaTheme="majorEastAsia" w:hAnsiTheme="majorHAnsi"/>
      <w:b/>
      <w:bCs/>
      <w:i/>
      <w:iCs/>
      <w:color w:themeColor="accent6" w:val="70AD47"/>
      <w:kern w:val="0"/>
      <w:sz w:val="20"/>
      <w:szCs w:val="20"/>
      <w:lang w:eastAsia="zh-CN"/>
      <w14:ligatures w14:val="none"/>
    </w:rPr>
  </w:style>
  <w:style w:styleId="Heading9" w:type="paragraph">
    <w:name w:val="heading 9"/>
    <w:basedOn w:val="Normal"/>
    <w:next w:val="Normal"/>
    <w:link w:val="Heading9Char"/>
    <w:uiPriority w:val="9"/>
    <w:semiHidden/>
    <w:unhideWhenUsed/>
    <w:qFormat/>
    <w:rsid w:val="004863D8"/>
    <w:pPr>
      <w:keepNext/>
      <w:keepLines/>
      <w:spacing w:after="0" w:before="40" w:line="288" w:lineRule="auto"/>
      <w:outlineLvl w:val="8"/>
    </w:pPr>
    <w:rPr>
      <w:rFonts w:asciiTheme="majorHAnsi" w:cstheme="majorBidi" w:eastAsiaTheme="majorEastAsia" w:hAnsiTheme="majorHAnsi"/>
      <w:i/>
      <w:iCs/>
      <w:color w:themeColor="accent6" w:val="70AD47"/>
      <w:kern w:val="0"/>
      <w:sz w:val="20"/>
      <w:szCs w:val="20"/>
      <w:lang w:eastAsia="zh-CN"/>
      <w14:ligatures w14: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63D8"/>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4863D8"/>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4863D8"/>
    <w:rPr>
      <w:rFonts w:asciiTheme="majorHAnsi" w:cstheme="majorBidi" w:eastAsiaTheme="majorEastAsia" w:hAnsiTheme="majorHAnsi"/>
      <w:color w:themeColor="accent1" w:themeShade="7F" w:val="1F3763"/>
      <w:sz w:val="24"/>
      <w:szCs w:val="24"/>
    </w:rPr>
  </w:style>
  <w:style w:customStyle="1" w:styleId="Heading4Char" w:type="character">
    <w:name w:val="Heading 4 Char"/>
    <w:link w:val="Heading4"/>
    <w:uiPriority w:val="9"/>
    <w:rsid w:val="004863D8"/>
    <w:rPr>
      <w:rFonts w:asciiTheme="majorHAnsi" w:cstheme="majorBidi" w:eastAsiaTheme="majorEastAsia" w:hAnsiTheme="majorHAnsi"/>
      <w:color w:themeColor="accent6" w:val="70AD47"/>
      <w:kern w:val="0"/>
      <w:lang w:eastAsia="zh-CN"/>
      <w14:ligatures w14:val="none"/>
    </w:rPr>
  </w:style>
  <w:style w:customStyle="1" w:styleId="Heading5Char" w:type="character">
    <w:name w:val="Heading 5 Char"/>
    <w:link w:val="Heading5"/>
    <w:uiPriority w:val="9"/>
    <w:rsid w:val="004863D8"/>
    <w:rPr>
      <w:rFonts w:asciiTheme="majorHAnsi" w:cstheme="majorBidi" w:eastAsiaTheme="majorEastAsia" w:hAnsiTheme="majorHAnsi"/>
      <w:i/>
      <w:iCs/>
      <w:color w:themeColor="accent6" w:val="70AD47"/>
      <w:kern w:val="0"/>
      <w:lang w:eastAsia="zh-CN"/>
      <w14:ligatures w14:val="none"/>
    </w:rPr>
  </w:style>
  <w:style w:customStyle="1" w:styleId="Heading6Char" w:type="character">
    <w:name w:val="Heading 6 Char"/>
    <w:link w:val="Heading6"/>
    <w:uiPriority w:val="9"/>
    <w:semiHidden/>
    <w:rsid w:val="004863D8"/>
    <w:rPr>
      <w:rFonts w:asciiTheme="majorHAnsi" w:cstheme="majorBidi" w:eastAsiaTheme="majorEastAsia" w:hAnsiTheme="majorHAnsi"/>
      <w:color w:themeColor="accent6" w:val="70AD47"/>
      <w:kern w:val="0"/>
      <w:sz w:val="21"/>
      <w:szCs w:val="21"/>
      <w:lang w:eastAsia="zh-CN"/>
      <w14:ligatures w14:val="none"/>
    </w:rPr>
  </w:style>
  <w:style w:customStyle="1" w:styleId="Heading7Char" w:type="character">
    <w:name w:val="Heading 7 Char"/>
    <w:link w:val="Heading7"/>
    <w:uiPriority w:val="9"/>
    <w:semiHidden/>
    <w:rsid w:val="004863D8"/>
    <w:rPr>
      <w:rFonts w:asciiTheme="majorHAnsi" w:cstheme="majorBidi" w:eastAsiaTheme="majorEastAsia" w:hAnsiTheme="majorHAnsi"/>
      <w:b/>
      <w:bCs/>
      <w:color w:themeColor="accent6" w:val="70AD47"/>
      <w:kern w:val="0"/>
      <w:sz w:val="21"/>
      <w:szCs w:val="21"/>
      <w:lang w:eastAsia="zh-CN"/>
      <w14:ligatures w14:val="none"/>
    </w:rPr>
  </w:style>
  <w:style w:customStyle="1" w:styleId="Heading8Char" w:type="character">
    <w:name w:val="Heading 8 Char"/>
    <w:link w:val="Heading8"/>
    <w:uiPriority w:val="9"/>
    <w:semiHidden/>
    <w:rsid w:val="004863D8"/>
    <w:rPr>
      <w:rFonts w:asciiTheme="majorHAnsi" w:cstheme="majorBidi" w:eastAsiaTheme="majorEastAsia" w:hAnsiTheme="majorHAnsi"/>
      <w:b/>
      <w:bCs/>
      <w:i/>
      <w:iCs/>
      <w:color w:themeColor="accent6" w:val="70AD47"/>
      <w:kern w:val="0"/>
      <w:sz w:val="20"/>
      <w:szCs w:val="20"/>
      <w:lang w:eastAsia="zh-CN"/>
      <w14:ligatures w14:val="none"/>
    </w:rPr>
  </w:style>
  <w:style w:customStyle="1" w:styleId="Heading9Char" w:type="character">
    <w:name w:val="Heading 9 Char"/>
    <w:link w:val="Heading9"/>
    <w:uiPriority w:val="9"/>
    <w:semiHidden/>
    <w:rsid w:val="004863D8"/>
    <w:rPr>
      <w:rFonts w:asciiTheme="majorHAnsi" w:cstheme="majorBidi" w:eastAsiaTheme="majorEastAsia" w:hAnsiTheme="majorHAnsi"/>
      <w:i/>
      <w:iCs/>
      <w:color w:themeColor="accent6" w:val="70AD47"/>
      <w:kern w:val="0"/>
      <w:sz w:val="20"/>
      <w:szCs w:val="20"/>
      <w:lang w:eastAsia="zh-CN"/>
      <w14:ligatures w14:val="none"/>
    </w:rPr>
  </w:style>
  <w:style w:customStyle="1" w:styleId="Ttulo4Car" w:type="character">
    <w:name w:val="Título 4 Car"/>
    <w:basedOn w:val="DefaultParagraphFont"/>
    <w:uiPriority w:val="9"/>
    <w:semiHidden/>
    <w:rsid w:val="004863D8"/>
    <w:rPr>
      <w:rFonts w:asciiTheme="majorHAnsi" w:cstheme="majorBidi" w:eastAsiaTheme="majorEastAsia" w:hAnsiTheme="majorHAnsi"/>
      <w:i/>
      <w:iCs/>
      <w:color w:themeColor="accent1" w:themeShade="BF" w:val="2F5496"/>
    </w:rPr>
  </w:style>
  <w:style w:customStyle="1" w:styleId="Ttulo5Car" w:type="character">
    <w:name w:val="Título 5 Car"/>
    <w:basedOn w:val="DefaultParagraphFont"/>
    <w:uiPriority w:val="9"/>
    <w:semiHidden/>
    <w:rsid w:val="004863D8"/>
    <w:rPr>
      <w:rFonts w:asciiTheme="majorHAnsi" w:cstheme="majorBidi" w:eastAsiaTheme="majorEastAsia" w:hAnsiTheme="majorHAnsi"/>
      <w:color w:themeColor="accent1" w:themeShade="BF" w:val="2F5496"/>
    </w:rPr>
  </w:style>
  <w:style w:customStyle="1" w:styleId="Ttulo6Car" w:type="character">
    <w:name w:val="Título 6 Car"/>
    <w:basedOn w:val="DefaultParagraphFont"/>
    <w:uiPriority w:val="9"/>
    <w:semiHidden/>
    <w:rsid w:val="004863D8"/>
    <w:rPr>
      <w:rFonts w:asciiTheme="majorHAnsi" w:cstheme="majorBidi" w:eastAsiaTheme="majorEastAsia" w:hAnsiTheme="majorHAnsi"/>
      <w:color w:themeColor="accent1" w:themeShade="7F" w:val="1F3763"/>
    </w:rPr>
  </w:style>
  <w:style w:customStyle="1" w:styleId="Ttulo7Car" w:type="character">
    <w:name w:val="Título 7 Car"/>
    <w:basedOn w:val="DefaultParagraphFont"/>
    <w:uiPriority w:val="9"/>
    <w:semiHidden/>
    <w:rsid w:val="004863D8"/>
    <w:rPr>
      <w:rFonts w:asciiTheme="majorHAnsi" w:cstheme="majorBidi" w:eastAsiaTheme="majorEastAsia" w:hAnsiTheme="majorHAnsi"/>
      <w:i/>
      <w:iCs/>
      <w:color w:themeColor="accent1" w:themeShade="7F" w:val="1F3763"/>
    </w:rPr>
  </w:style>
  <w:style w:customStyle="1" w:styleId="Ttulo8Car" w:type="character">
    <w:name w:val="Título 8 Car"/>
    <w:basedOn w:val="DefaultParagraphFont"/>
    <w:uiPriority w:val="9"/>
    <w:semiHidden/>
    <w:rsid w:val="004863D8"/>
    <w:rPr>
      <w:rFonts w:asciiTheme="majorHAnsi" w:cstheme="majorBidi" w:eastAsiaTheme="majorEastAsia" w:hAnsiTheme="majorHAnsi"/>
      <w:color w:themeColor="text1" w:themeTint="D8" w:val="272727"/>
      <w:sz w:val="21"/>
      <w:szCs w:val="21"/>
    </w:rPr>
  </w:style>
  <w:style w:customStyle="1" w:styleId="Ttulo9Car" w:type="character">
    <w:name w:val="Título 9 Car"/>
    <w:basedOn w:val="DefaultParagraphFont"/>
    <w:uiPriority w:val="9"/>
    <w:semiHidden/>
    <w:rsid w:val="004863D8"/>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4863D8"/>
    <w:pPr>
      <w:ind w:left="720"/>
      <w:contextualSpacing/>
    </w:pPr>
  </w:style>
  <w:style w:customStyle="1" w:styleId="normaltextrun" w:type="character">
    <w:name w:val="normaltextrun"/>
    <w:basedOn w:val="DefaultParagraphFont"/>
    <w:rsid w:val="004863D8"/>
  </w:style>
  <w:style w:customStyle="1" w:styleId="apple-converted-space" w:type="character">
    <w:name w:val="apple-converted-space"/>
    <w:basedOn w:val="DefaultParagraphFont"/>
    <w:rsid w:val="004863D8"/>
  </w:style>
  <w:style w:styleId="Strong" w:type="character">
    <w:name w:val="Strong"/>
    <w:basedOn w:val="DefaultParagraphFont"/>
    <w:uiPriority w:val="22"/>
    <w:qFormat/>
    <w:rsid w:val="004863D8"/>
    <w:rPr>
      <w:b/>
      <w:bCs/>
    </w:rPr>
  </w:style>
  <w:style w:styleId="NormalWeb" w:type="paragraph">
    <w:name w:val="Normal (Web)"/>
    <w:basedOn w:val="Normal"/>
    <w:uiPriority w:val="99"/>
    <w:semiHidden/>
    <w:unhideWhenUsed/>
    <w:rsid w:val="004863D8"/>
    <w:pPr>
      <w:spacing w:after="100" w:afterAutospacing="1" w:before="100" w:beforeAutospacing="1" w:line="240" w:lineRule="auto"/>
    </w:pPr>
    <w:rPr>
      <w:rFonts w:ascii="Times New Roman" w:cs="Times New Roman" w:eastAsia="Times New Roman" w:hAnsi="Times New Roman"/>
      <w:kern w:val="0"/>
      <w:sz w:val="24"/>
      <w:szCs w:val="24"/>
      <w:lang w:eastAsia="es-MX"/>
      <w14:ligatures w14:val="none"/>
    </w:rPr>
  </w:style>
  <w:style w:customStyle="1" w:styleId="Default" w:type="paragraph">
    <w:name w:val="Default"/>
    <w:rsid w:val="004863D8"/>
    <w:pPr>
      <w:autoSpaceDE w:val="0"/>
      <w:autoSpaceDN w:val="0"/>
      <w:adjustRightInd w:val="0"/>
      <w:spacing w:after="0" w:line="240" w:lineRule="auto"/>
    </w:pPr>
    <w:rPr>
      <w:rFonts w:ascii="Inter" w:cs="Inter" w:hAnsi="Inter"/>
      <w:color w:val="000000"/>
      <w:kern w:val="0"/>
      <w:sz w:val="24"/>
      <w:szCs w:val="24"/>
    </w:rPr>
  </w:style>
  <w:style w:styleId="TOCHeading" w:type="paragraph">
    <w:name w:val="TOC Heading"/>
    <w:basedOn w:val="Heading1"/>
    <w:next w:val="Normal"/>
    <w:uiPriority w:val="39"/>
    <w:unhideWhenUsed/>
    <w:qFormat/>
    <w:rsid w:val="004863D8"/>
    <w:pPr>
      <w:outlineLvl w:val="9"/>
    </w:pPr>
    <w:rPr>
      <w:kern w:val="0"/>
      <w:lang w:eastAsia="es-CO"/>
      <w14:ligatures w14:val="none"/>
    </w:rPr>
  </w:style>
  <w:style w:styleId="TOC1" w:type="paragraph">
    <w:name w:val="toc 1"/>
    <w:basedOn w:val="Normal"/>
    <w:next w:val="Normal"/>
    <w:autoRedefine/>
    <w:uiPriority w:val="39"/>
    <w:unhideWhenUsed/>
    <w:rsid w:val="004863D8"/>
    <w:pPr>
      <w:spacing w:after="100"/>
    </w:pPr>
  </w:style>
  <w:style w:styleId="TOC2" w:type="paragraph">
    <w:name w:val="toc 2"/>
    <w:basedOn w:val="Normal"/>
    <w:next w:val="Normal"/>
    <w:autoRedefine/>
    <w:uiPriority w:val="39"/>
    <w:unhideWhenUsed/>
    <w:rsid w:val="004863D8"/>
    <w:pPr>
      <w:spacing w:after="100"/>
      <w:ind w:left="220"/>
    </w:pPr>
  </w:style>
  <w:style w:styleId="TOC3" w:type="paragraph">
    <w:name w:val="toc 3"/>
    <w:basedOn w:val="Normal"/>
    <w:next w:val="Normal"/>
    <w:autoRedefine/>
    <w:uiPriority w:val="39"/>
    <w:unhideWhenUsed/>
    <w:rsid w:val="004863D8"/>
    <w:pPr>
      <w:spacing w:after="100"/>
      <w:ind w:left="440"/>
    </w:pPr>
  </w:style>
  <w:style w:styleId="Hyperlink" w:type="character">
    <w:name w:val="Hyperlink"/>
    <w:basedOn w:val="DefaultParagraphFont"/>
    <w:uiPriority w:val="99"/>
    <w:unhideWhenUsed/>
    <w:rsid w:val="004863D8"/>
    <w:rPr>
      <w:color w:themeColor="hyperlink" w:val="0563C1"/>
      <w:u w:val="single"/>
    </w:rPr>
  </w:style>
  <w:style w:styleId="FootnoteText" w:type="paragraph">
    <w:name w:val="footnote text"/>
    <w:basedOn w:val="Normal"/>
    <w:link w:val="FootnoteTextChar"/>
    <w:uiPriority w:val="99"/>
    <w:unhideWhenUsed/>
    <w:rsid w:val="004863D8"/>
    <w:pPr>
      <w:spacing w:after="0" w:line="240" w:lineRule="auto"/>
    </w:pPr>
    <w:rPr>
      <w:sz w:val="20"/>
      <w:szCs w:val="20"/>
    </w:rPr>
  </w:style>
  <w:style w:customStyle="1" w:styleId="FootnoteTextChar" w:type="character">
    <w:name w:val="Footnote Text Char"/>
    <w:basedOn w:val="DefaultParagraphFont"/>
    <w:link w:val="FootnoteText"/>
    <w:uiPriority w:val="99"/>
    <w:rsid w:val="004863D8"/>
    <w:rPr>
      <w:sz w:val="20"/>
      <w:szCs w:val="20"/>
    </w:rPr>
  </w:style>
  <w:style w:styleId="FootnoteReference" w:type="character">
    <w:name w:val="footnote reference"/>
    <w:basedOn w:val="DefaultParagraphFont"/>
    <w:uiPriority w:val="99"/>
    <w:semiHidden/>
    <w:unhideWhenUsed/>
    <w:rsid w:val="004863D8"/>
    <w:rPr>
      <w:vertAlign w:val="superscript"/>
    </w:rPr>
  </w:style>
  <w:style w:styleId="TableGrid" w:type="table">
    <w:name w:val="Table Grid"/>
    <w:basedOn w:val="TableNormal"/>
    <w:uiPriority w:val="59"/>
    <w:rsid w:val="004863D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1"/>
    <w:uiPriority w:val="99"/>
    <w:unhideWhenUsed/>
    <w:rsid w:val="004863D8"/>
    <w:pPr>
      <w:spacing w:line="240" w:lineRule="auto"/>
    </w:pPr>
    <w:rPr>
      <w:sz w:val="20"/>
      <w:szCs w:val="20"/>
    </w:rPr>
  </w:style>
  <w:style w:customStyle="1" w:styleId="CommentTextChar1" w:type="character">
    <w:name w:val="Comment Text Char1"/>
    <w:basedOn w:val="DefaultParagraphFont"/>
    <w:link w:val="CommentText"/>
    <w:uiPriority w:val="99"/>
    <w:rsid w:val="004863D8"/>
    <w:rPr>
      <w:sz w:val="20"/>
      <w:szCs w:val="20"/>
    </w:rPr>
  </w:style>
  <w:style w:styleId="CommentReference" w:type="character">
    <w:name w:val="annotation reference"/>
    <w:basedOn w:val="DefaultParagraphFont"/>
    <w:uiPriority w:val="99"/>
    <w:semiHidden/>
    <w:unhideWhenUsed/>
    <w:rsid w:val="004863D8"/>
    <w:rPr>
      <w:sz w:val="16"/>
      <w:szCs w:val="16"/>
    </w:rPr>
  </w:style>
  <w:style w:styleId="Header" w:type="paragraph">
    <w:name w:val="header"/>
    <w:basedOn w:val="Normal"/>
    <w:link w:val="HeaderChar"/>
    <w:uiPriority w:val="99"/>
    <w:unhideWhenUsed/>
    <w:rsid w:val="004863D8"/>
    <w:pPr>
      <w:tabs>
        <w:tab w:pos="4680" w:val="center"/>
        <w:tab w:pos="9360" w:val="right"/>
      </w:tabs>
      <w:spacing w:after="0" w:line="240" w:lineRule="auto"/>
    </w:pPr>
  </w:style>
  <w:style w:customStyle="1" w:styleId="HeaderChar" w:type="character">
    <w:name w:val="Header Char"/>
    <w:basedOn w:val="DefaultParagraphFont"/>
    <w:link w:val="Header"/>
    <w:uiPriority w:val="99"/>
    <w:rsid w:val="004863D8"/>
  </w:style>
  <w:style w:styleId="Footer" w:type="paragraph">
    <w:name w:val="footer"/>
    <w:basedOn w:val="Normal"/>
    <w:link w:val="FooterChar"/>
    <w:uiPriority w:val="99"/>
    <w:unhideWhenUsed/>
    <w:rsid w:val="004863D8"/>
    <w:pPr>
      <w:tabs>
        <w:tab w:pos="4680" w:val="center"/>
        <w:tab w:pos="9360" w:val="right"/>
      </w:tabs>
      <w:spacing w:after="0" w:line="240" w:lineRule="auto"/>
    </w:pPr>
  </w:style>
  <w:style w:customStyle="1" w:styleId="FooterChar" w:type="character">
    <w:name w:val="Footer Char"/>
    <w:basedOn w:val="DefaultParagraphFont"/>
    <w:link w:val="Footer"/>
    <w:uiPriority w:val="99"/>
    <w:rsid w:val="004863D8"/>
  </w:style>
  <w:style w:styleId="Caption" w:type="paragraph">
    <w:name w:val="caption"/>
    <w:basedOn w:val="Normal"/>
    <w:next w:val="Normal"/>
    <w:uiPriority w:val="35"/>
    <w:unhideWhenUsed/>
    <w:qFormat/>
    <w:rsid w:val="004863D8"/>
    <w:pPr>
      <w:spacing w:after="200" w:line="240" w:lineRule="auto"/>
    </w:pPr>
    <w:rPr>
      <w:i/>
      <w:iCs/>
      <w:color w:themeColor="text2" w:val="44546A"/>
      <w:sz w:val="18"/>
      <w:szCs w:val="18"/>
    </w:rPr>
  </w:style>
  <w:style w:customStyle="1" w:styleId="Normal0" w:type="paragraph">
    <w:name w:val="Normal0"/>
    <w:aliases w:val="Texto corrido"/>
    <w:qFormat/>
    <w:rsid w:val="004863D8"/>
    <w:pPr>
      <w:overflowPunct w:val="0"/>
      <w:autoSpaceDE w:val="0"/>
      <w:autoSpaceDN w:val="0"/>
      <w:adjustRightInd w:val="0"/>
      <w:spacing w:after="0" w:line="240" w:lineRule="auto"/>
      <w:textAlignment w:val="baseline"/>
    </w:pPr>
    <w:rPr>
      <w:rFonts w:ascii="Arial Narrow" w:cs="Times New Roman" w:eastAsia="Times New Roman" w:hAnsi="Arial Narrow"/>
      <w:color w:themeColor="text1" w:themeTint="BF" w:val="404040"/>
      <w:kern w:val="0"/>
      <w:sz w:val="21"/>
      <w:szCs w:val="20"/>
      <w:lang w:eastAsia="es-MX" w:val="es-ES_tradnl"/>
      <w14:ligatures w14:val="none"/>
    </w:rPr>
  </w:style>
  <w:style w:styleId="Title" w:type="paragraph">
    <w:name w:val="Title"/>
    <w:basedOn w:val="Normal"/>
    <w:next w:val="Normal"/>
    <w:link w:val="TitleChar"/>
    <w:uiPriority w:val="10"/>
    <w:qFormat/>
    <w:rsid w:val="004863D8"/>
    <w:pPr>
      <w:spacing w:after="0" w:line="240" w:lineRule="auto"/>
      <w:contextualSpacing/>
    </w:pPr>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itleChar" w:type="character">
    <w:name w:val="Title Char"/>
    <w:link w:val="Title"/>
    <w:uiPriority w:val="10"/>
    <w:rsid w:val="004863D8"/>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tuloCar" w:type="character">
    <w:name w:val="Título Car"/>
    <w:basedOn w:val="DefaultParagraphFont"/>
    <w:uiPriority w:val="10"/>
    <w:rsid w:val="004863D8"/>
    <w:rPr>
      <w:rFonts w:asciiTheme="majorHAnsi" w:cstheme="majorBidi" w:eastAsiaTheme="majorEastAsia" w:hAnsiTheme="majorHAnsi"/>
      <w:spacing w:val="-10"/>
      <w:kern w:val="28"/>
      <w:sz w:val="56"/>
      <w:szCs w:val="56"/>
    </w:rPr>
  </w:style>
  <w:style w:customStyle="1" w:styleId="Ttulo1" w:type="paragraph">
    <w:name w:val="Título1"/>
    <w:basedOn w:val="Heading1"/>
    <w:link w:val="TtuloChar"/>
    <w:rsid w:val="004863D8"/>
    <w:pPr>
      <w:spacing w:after="40" w:before="360" w:line="240" w:lineRule="auto"/>
    </w:pPr>
    <w:rPr>
      <w:rFonts w:ascii="Arial" w:hAnsi="Arial"/>
      <w:b/>
      <w:color w:val="002060"/>
      <w:kern w:val="0"/>
      <w:sz w:val="40"/>
      <w:szCs w:val="40"/>
      <w:lang w:eastAsia="zh-CN"/>
      <w14:ligatures w14:val="none"/>
    </w:rPr>
  </w:style>
  <w:style w:customStyle="1" w:styleId="TtuloChar" w:type="character">
    <w:name w:val="Título Char"/>
    <w:basedOn w:val="Ttulo1Car1"/>
    <w:link w:val="Ttulo1"/>
    <w:rsid w:val="004863D8"/>
    <w:rPr>
      <w:rFonts w:ascii="Arial" w:cstheme="majorBidi" w:eastAsiaTheme="majorEastAsia" w:hAnsi="Arial"/>
      <w:b/>
      <w:color w:val="002060"/>
      <w:kern w:val="0"/>
      <w:sz w:val="40"/>
      <w:szCs w:val="40"/>
      <w:lang w:eastAsia="zh-CN"/>
      <w14:ligatures w14:val="none"/>
    </w:rPr>
  </w:style>
  <w:style w:customStyle="1" w:styleId="Ttulo1Car1" w:type="character">
    <w:name w:val="Título 1 Car1"/>
    <w:uiPriority w:val="9"/>
    <w:rsid w:val="004863D8"/>
    <w:rPr>
      <w:rFonts w:asciiTheme="majorHAnsi" w:cstheme="majorBidi" w:eastAsiaTheme="majorEastAsia" w:hAnsiTheme="majorHAnsi"/>
      <w:color w:themeColor="accent6" w:themeShade="BF" w:val="538135"/>
      <w:sz w:val="40"/>
      <w:szCs w:val="40"/>
    </w:rPr>
  </w:style>
  <w:style w:customStyle="1" w:styleId="Subttulo1" w:type="paragraph">
    <w:name w:val="Subtítulo1"/>
    <w:basedOn w:val="Heading2"/>
    <w:link w:val="SubttuloChar"/>
    <w:rsid w:val="004863D8"/>
    <w:pPr>
      <w:spacing w:before="80" w:line="240" w:lineRule="auto"/>
    </w:pPr>
    <w:rPr>
      <w:rFonts w:ascii="Arial" w:hAnsi="Arial"/>
      <w:b/>
      <w:bCs/>
      <w:color w:themeColor="accent6" w:themeShade="BF" w:val="538135"/>
      <w:kern w:val="0"/>
      <w:sz w:val="24"/>
      <w:szCs w:val="32"/>
      <w:lang w:eastAsia="zh-CN"/>
      <w14:ligatures w14:val="none"/>
    </w:rPr>
  </w:style>
  <w:style w:customStyle="1" w:styleId="SubttuloChar" w:type="character">
    <w:name w:val="Subtítulo Char"/>
    <w:basedOn w:val="Ttulo2Car1"/>
    <w:link w:val="Subttulo1"/>
    <w:rsid w:val="004863D8"/>
    <w:rPr>
      <w:rFonts w:ascii="Arial" w:cstheme="majorBidi" w:eastAsiaTheme="majorEastAsia" w:hAnsi="Arial"/>
      <w:b/>
      <w:bCs/>
      <w:color w:themeColor="accent6" w:themeShade="BF" w:val="538135"/>
      <w:kern w:val="0"/>
      <w:sz w:val="24"/>
      <w:szCs w:val="32"/>
      <w:lang w:eastAsia="zh-CN"/>
      <w14:ligatures w14:val="none"/>
    </w:rPr>
  </w:style>
  <w:style w:customStyle="1" w:styleId="Ttulo2Car1" w:type="character">
    <w:name w:val="Título 2 Car1"/>
    <w:uiPriority w:val="9"/>
    <w:semiHidden/>
    <w:rsid w:val="004863D8"/>
    <w:rPr>
      <w:rFonts w:asciiTheme="majorHAnsi" w:cstheme="majorBidi" w:eastAsiaTheme="majorEastAsia" w:hAnsiTheme="majorHAnsi"/>
      <w:color w:themeColor="accent6" w:themeShade="BF" w:val="538135"/>
      <w:sz w:val="28"/>
      <w:szCs w:val="28"/>
    </w:rPr>
  </w:style>
  <w:style w:customStyle="1" w:styleId="Ttulodeseccin" w:type="paragraph">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customStyle="1" w:styleId="TtulodeseccinChar" w:type="character">
    <w:name w:val="Título de sección Char"/>
    <w:link w:val="Ttulodeseccin"/>
    <w:uiPriority w:val="1"/>
    <w:rsid w:val="004863D8"/>
    <w:rPr>
      <w:rFonts w:asciiTheme="majorHAnsi" w:cstheme="majorBidi" w:eastAsiaTheme="majorEastAsia" w:hAnsiTheme="majorHAnsi"/>
      <w:b/>
      <w:kern w:val="0"/>
      <w:lang w:eastAsia="zh-CN"/>
      <w14:ligatures w14:val="none"/>
    </w:rPr>
  </w:style>
  <w:style w:customStyle="1" w:styleId="CommentTextChar" w:type="character">
    <w:name w:val="Comment Text Char"/>
    <w:uiPriority w:val="99"/>
    <w:rsid w:val="004863D8"/>
    <w:rPr>
      <w:sz w:val="20"/>
      <w:szCs w:val="20"/>
    </w:rPr>
  </w:style>
  <w:style w:customStyle="1" w:styleId="CommentSubjectChar" w:type="characte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styleId="CommentSubject" w:type="paragraph">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customStyle="1" w:styleId="AsuntodelcomentarioCar1" w:type="character">
    <w:name w:val="Asunto del comentario Car1"/>
    <w:basedOn w:val="CommentTextChar1"/>
    <w:uiPriority w:val="99"/>
    <w:semiHidden/>
    <w:rsid w:val="004863D8"/>
    <w:rPr>
      <w:b/>
      <w:bCs/>
      <w:sz w:val="20"/>
      <w:szCs w:val="20"/>
    </w:rPr>
  </w:style>
  <w:style w:customStyle="1" w:styleId="paragraph" w:type="paragraph">
    <w:name w:val="paragraph"/>
    <w:basedOn w:val="Normal"/>
    <w:rsid w:val="004863D8"/>
    <w:pPr>
      <w:spacing w:after="200" w:afterAutospacing="1" w:beforeAutospacing="1" w:line="240" w:lineRule="auto"/>
    </w:pPr>
    <w:rPr>
      <w:rFonts w:ascii="Times New Roman" w:cs="Times New Roman" w:eastAsia="Times New Roman" w:hAnsi="Times New Roman"/>
      <w:kern w:val="0"/>
      <w:sz w:val="24"/>
      <w:szCs w:val="24"/>
      <w:lang w:eastAsia="zh-CN"/>
      <w14:ligatures w14:val="none"/>
    </w:rPr>
  </w:style>
  <w:style w:customStyle="1" w:styleId="eop" w:type="character">
    <w:name w:val="eop"/>
    <w:rsid w:val="004863D8"/>
  </w:style>
  <w:style w:customStyle="1" w:styleId="contentcontrolboundarysink" w:type="character">
    <w:name w:val="contentcontrolboundarysink"/>
    <w:uiPriority w:val="1"/>
    <w:rsid w:val="004863D8"/>
  </w:style>
  <w:style w:styleId="BalloonText" w:type="paragraph">
    <w:name w:val="Balloon Text"/>
    <w:basedOn w:val="Normal"/>
    <w:link w:val="BalloonTextChar"/>
    <w:uiPriority w:val="99"/>
    <w:semiHidden/>
    <w:unhideWhenUsed/>
    <w:rsid w:val="004863D8"/>
    <w:pPr>
      <w:spacing w:after="0" w:line="240" w:lineRule="auto"/>
    </w:pPr>
    <w:rPr>
      <w:rFonts w:ascii="Segoe UI" w:cs="Segoe UI" w:eastAsiaTheme="minorEastAsia" w:hAnsi="Segoe UI"/>
      <w:kern w:val="0"/>
      <w:sz w:val="18"/>
      <w:szCs w:val="18"/>
      <w:lang w:eastAsia="zh-CN"/>
      <w14:ligatures w14:val="none"/>
    </w:rPr>
  </w:style>
  <w:style w:customStyle="1" w:styleId="BalloonTextChar" w:type="character">
    <w:name w:val="Balloon Text Char"/>
    <w:link w:val="BalloonText"/>
    <w:uiPriority w:val="99"/>
    <w:semiHidden/>
    <w:rsid w:val="004863D8"/>
    <w:rPr>
      <w:rFonts w:ascii="Segoe UI" w:cs="Segoe UI" w:eastAsiaTheme="minorEastAsia" w:hAnsi="Segoe UI"/>
      <w:kern w:val="0"/>
      <w:sz w:val="18"/>
      <w:szCs w:val="18"/>
      <w:lang w:eastAsia="zh-CN"/>
      <w14:ligatures w14:val="none"/>
    </w:rPr>
  </w:style>
  <w:style w:customStyle="1" w:styleId="TextodegloboCar" w:type="character">
    <w:name w:val="Texto de globo Car"/>
    <w:basedOn w:val="DefaultParagraphFont"/>
    <w:uiPriority w:val="99"/>
    <w:semiHidden/>
    <w:rsid w:val="004863D8"/>
    <w:rPr>
      <w:rFonts w:ascii="Segoe UI" w:cs="Segoe UI" w:hAnsi="Segoe UI"/>
      <w:sz w:val="18"/>
      <w:szCs w:val="18"/>
    </w:rPr>
  </w:style>
  <w:style w:customStyle="1" w:styleId="EncabezadoCar1" w:type="character">
    <w:name w:val="Encabezado Car1"/>
    <w:uiPriority w:val="99"/>
    <w:rsid w:val="004863D8"/>
    <w:rPr>
      <w:lang w:val="es-CO"/>
    </w:rPr>
  </w:style>
  <w:style w:customStyle="1" w:styleId="PiedepginaCar1" w:type="character">
    <w:name w:val="Pie de página Car1"/>
    <w:uiPriority w:val="99"/>
    <w:rsid w:val="004863D8"/>
    <w:rPr>
      <w:lang w:val="es-CO"/>
    </w:rPr>
  </w:style>
  <w:style w:styleId="Subtitle" w:type="paragraph">
    <w:name w:val="Subtitle"/>
    <w:basedOn w:val="Normal"/>
    <w:next w:val="Normal"/>
    <w:link w:val="SubtitleChar"/>
    <w:uiPriority w:val="11"/>
    <w:qFormat/>
    <w:rsid w:val="004863D8"/>
    <w:pPr>
      <w:numPr>
        <w:ilvl w:val="1"/>
      </w:numPr>
      <w:spacing w:after="200" w:line="240" w:lineRule="auto"/>
    </w:pPr>
    <w:rPr>
      <w:rFonts w:asciiTheme="majorHAnsi" w:cstheme="majorBidi" w:eastAsiaTheme="majorEastAsia" w:hAnsiTheme="majorHAnsi"/>
      <w:kern w:val="0"/>
      <w:sz w:val="30"/>
      <w:szCs w:val="30"/>
      <w:lang w:eastAsia="zh-CN"/>
      <w14:ligatures w14:val="none"/>
    </w:rPr>
  </w:style>
  <w:style w:customStyle="1" w:styleId="SubtitleChar" w:type="character">
    <w:name w:val="Subtitle Char"/>
    <w:link w:val="Subtitle"/>
    <w:uiPriority w:val="11"/>
    <w:rsid w:val="004863D8"/>
    <w:rPr>
      <w:rFonts w:asciiTheme="majorHAnsi" w:cstheme="majorBidi" w:eastAsiaTheme="majorEastAsia" w:hAnsiTheme="majorHAnsi"/>
      <w:kern w:val="0"/>
      <w:sz w:val="30"/>
      <w:szCs w:val="30"/>
      <w:lang w:eastAsia="zh-CN"/>
      <w14:ligatures w14:val="none"/>
    </w:rPr>
  </w:style>
  <w:style w:customStyle="1" w:styleId="SubttuloCar" w:type="character">
    <w:name w:val="Subtítulo Car"/>
    <w:basedOn w:val="DefaultParagraphFont"/>
    <w:uiPriority w:val="11"/>
    <w:rsid w:val="004863D8"/>
    <w:rPr>
      <w:rFonts w:eastAsiaTheme="minorEastAsia"/>
      <w:color w:themeColor="text1" w:themeTint="A5" w:val="5A5A5A"/>
      <w:spacing w:val="15"/>
    </w:rPr>
  </w:style>
  <w:style w:styleId="Emphasis" w:type="character">
    <w:name w:val="Emphasis"/>
    <w:uiPriority w:val="20"/>
    <w:qFormat/>
    <w:rsid w:val="004863D8"/>
    <w:rPr>
      <w:i/>
      <w:iCs/>
      <w:color w:themeColor="accent6" w:val="70AD47"/>
    </w:rPr>
  </w:style>
  <w:style w:styleId="NoSpacing" w:type="paragraph">
    <w:name w:val="No Spacing"/>
    <w:uiPriority w:val="1"/>
    <w:qFormat/>
    <w:rsid w:val="004863D8"/>
    <w:pPr>
      <w:spacing w:after="0" w:line="240" w:lineRule="auto"/>
    </w:pPr>
    <w:rPr>
      <w:rFonts w:eastAsiaTheme="minorEastAsia"/>
      <w:kern w:val="0"/>
      <w:sz w:val="21"/>
      <w:szCs w:val="21"/>
      <w:lang w:eastAsia="zh-CN" w:val="en-US"/>
      <w14:ligatures w14:val="none"/>
    </w:rPr>
  </w:style>
  <w:style w:styleId="Quote" w:type="paragraph">
    <w:name w:val="Quote"/>
    <w:basedOn w:val="Normal"/>
    <w:next w:val="Normal"/>
    <w:link w:val="QuoteChar"/>
    <w:uiPriority w:val="29"/>
    <w:qFormat/>
    <w:rsid w:val="004863D8"/>
    <w:pPr>
      <w:spacing w:after="200" w:before="160" w:line="288" w:lineRule="auto"/>
      <w:ind w:left="720" w:right="720"/>
      <w:jc w:val="center"/>
    </w:pPr>
    <w:rPr>
      <w:rFonts w:eastAsiaTheme="minorEastAsia"/>
      <w:i/>
      <w:iCs/>
      <w:color w:themeColor="text1" w:themeTint="D9" w:val="262626"/>
      <w:kern w:val="0"/>
      <w:sz w:val="21"/>
      <w:szCs w:val="21"/>
      <w:lang w:eastAsia="zh-CN"/>
      <w14:ligatures w14:val="none"/>
    </w:rPr>
  </w:style>
  <w:style w:customStyle="1" w:styleId="QuoteChar" w:type="character">
    <w:name w:val="Quote Char"/>
    <w:link w:val="Quote"/>
    <w:uiPriority w:val="29"/>
    <w:rsid w:val="004863D8"/>
    <w:rPr>
      <w:rFonts w:eastAsiaTheme="minorEastAsia"/>
      <w:i/>
      <w:iCs/>
      <w:color w:themeColor="text1" w:themeTint="D9" w:val="262626"/>
      <w:kern w:val="0"/>
      <w:sz w:val="21"/>
      <w:szCs w:val="21"/>
      <w:lang w:eastAsia="zh-CN"/>
      <w14:ligatures w14:val="none"/>
    </w:rPr>
  </w:style>
  <w:style w:customStyle="1" w:styleId="CitaCar" w:type="character">
    <w:name w:val="Cita Car"/>
    <w:basedOn w:val="DefaultParagraphFont"/>
    <w:uiPriority w:val="29"/>
    <w:rsid w:val="004863D8"/>
    <w:rPr>
      <w:i/>
      <w:iCs/>
      <w:color w:themeColor="text1" w:themeTint="BF" w:val="404040"/>
    </w:rPr>
  </w:style>
  <w:style w:styleId="IntenseQuote" w:type="paragraph">
    <w:name w:val="Intense Quote"/>
    <w:basedOn w:val="Normal"/>
    <w:next w:val="Normal"/>
    <w:link w:val="IntenseQuoteChar"/>
    <w:uiPriority w:val="30"/>
    <w:qFormat/>
    <w:rsid w:val="004863D8"/>
    <w:pPr>
      <w:spacing w:before="160" w:line="264" w:lineRule="auto"/>
      <w:ind w:left="720" w:right="720"/>
      <w:jc w:val="center"/>
    </w:pPr>
    <w:rPr>
      <w:rFonts w:asciiTheme="majorHAnsi" w:cstheme="majorBidi" w:eastAsiaTheme="majorEastAsia" w:hAnsiTheme="majorHAnsi"/>
      <w:i/>
      <w:iCs/>
      <w:color w:themeColor="accent6" w:val="70AD47"/>
      <w:kern w:val="0"/>
      <w:sz w:val="32"/>
      <w:szCs w:val="32"/>
      <w:lang w:eastAsia="zh-CN"/>
      <w14:ligatures w14:val="none"/>
    </w:rPr>
  </w:style>
  <w:style w:customStyle="1" w:styleId="IntenseQuoteChar" w:type="character">
    <w:name w:val="Intense Quote Char"/>
    <w:link w:val="IntenseQuote"/>
    <w:uiPriority w:val="30"/>
    <w:rsid w:val="004863D8"/>
    <w:rPr>
      <w:rFonts w:asciiTheme="majorHAnsi" w:cstheme="majorBidi" w:eastAsiaTheme="majorEastAsia" w:hAnsiTheme="majorHAnsi"/>
      <w:i/>
      <w:iCs/>
      <w:color w:themeColor="accent6" w:val="70AD47"/>
      <w:kern w:val="0"/>
      <w:sz w:val="32"/>
      <w:szCs w:val="32"/>
      <w:lang w:eastAsia="zh-CN"/>
      <w14:ligatures w14:val="none"/>
    </w:rPr>
  </w:style>
  <w:style w:customStyle="1" w:styleId="CitadestacadaCar" w:type="character">
    <w:name w:val="Cita destacada Car"/>
    <w:basedOn w:val="DefaultParagraphFont"/>
    <w:uiPriority w:val="30"/>
    <w:rsid w:val="004863D8"/>
    <w:rPr>
      <w:i/>
      <w:iCs/>
      <w:color w:themeColor="accent1" w:val="4472C4"/>
    </w:rPr>
  </w:style>
  <w:style w:styleId="SubtleEmphasis" w:type="character">
    <w:name w:val="Subtle Emphasis"/>
    <w:uiPriority w:val="19"/>
    <w:qFormat/>
    <w:rsid w:val="004863D8"/>
    <w:rPr>
      <w:i/>
      <w:iCs/>
    </w:rPr>
  </w:style>
  <w:style w:styleId="IntenseEmphasis" w:type="character">
    <w:name w:val="Intense Emphasis"/>
    <w:uiPriority w:val="21"/>
    <w:qFormat/>
    <w:rsid w:val="004863D8"/>
    <w:rPr>
      <w:b/>
      <w:bCs/>
      <w:i/>
      <w:iCs/>
    </w:rPr>
  </w:style>
  <w:style w:styleId="SubtleReference" w:type="character">
    <w:name w:val="Subtle Reference"/>
    <w:uiPriority w:val="31"/>
    <w:qFormat/>
    <w:rsid w:val="004863D8"/>
    <w:rPr>
      <w:smallCaps/>
      <w:color w:themeColor="text1" w:themeTint="A6" w:val="595959"/>
    </w:rPr>
  </w:style>
  <w:style w:styleId="IntenseReference" w:type="character">
    <w:name w:val="Intense Reference"/>
    <w:uiPriority w:val="32"/>
    <w:qFormat/>
    <w:rsid w:val="004863D8"/>
    <w:rPr>
      <w:b/>
      <w:bCs/>
      <w:smallCaps/>
      <w:color w:themeColor="accent6" w:val="70AD47"/>
    </w:rPr>
  </w:style>
  <w:style w:styleId="BookTitle" w:type="character">
    <w:name w:val="Book Title"/>
    <w:uiPriority w:val="33"/>
    <w:qFormat/>
    <w:rsid w:val="004863D8"/>
    <w:rPr>
      <w:b/>
      <w:bCs/>
      <w:smallCaps/>
      <w:sz w:val="21"/>
      <w:szCs w:val="21"/>
    </w:rPr>
  </w:style>
  <w:style w:customStyle="1" w:styleId="Mention1" w:type="character">
    <w:name w:val="Mention1"/>
    <w:uiPriority w:val="99"/>
    <w:unhideWhenUsed/>
    <w:rsid w:val="004863D8"/>
    <w:rPr>
      <w:color w:val="2B579A"/>
    </w:rPr>
  </w:style>
  <w:style w:styleId="BodyText" w:type="paragraph">
    <w:name w:val="Body Text"/>
    <w:basedOn w:val="Normal"/>
    <w:link w:val="BodyTextChar"/>
    <w:qFormat/>
    <w:rsid w:val="004863D8"/>
    <w:pPr>
      <w:spacing w:after="180" w:before="180" w:line="240" w:lineRule="auto"/>
    </w:pPr>
    <w:rPr>
      <w:kern w:val="0"/>
      <w:sz w:val="24"/>
      <w:szCs w:val="24"/>
      <w:lang w:val="en-US"/>
      <w14:ligatures w14:val="none"/>
    </w:rPr>
  </w:style>
  <w:style w:customStyle="1" w:styleId="BodyTextChar" w:type="character">
    <w:name w:val="Body Text Char"/>
    <w:link w:val="BodyText"/>
    <w:rsid w:val="004863D8"/>
    <w:rPr>
      <w:kern w:val="0"/>
      <w:sz w:val="24"/>
      <w:szCs w:val="24"/>
      <w:lang w:val="en-US"/>
      <w14:ligatures w14:val="none"/>
    </w:rPr>
  </w:style>
  <w:style w:customStyle="1" w:styleId="TextoindependienteCar" w:type="character">
    <w:name w:val="Texto independiente Car"/>
    <w:basedOn w:val="DefaultParagraphFont"/>
    <w:uiPriority w:val="1"/>
    <w:rsid w:val="004863D8"/>
  </w:style>
  <w:style w:customStyle="1" w:styleId="FirstParagraph" w:type="paragraph">
    <w:name w:val="First Paragraph"/>
    <w:basedOn w:val="BodyText"/>
    <w:next w:val="BodyText"/>
    <w:qFormat/>
    <w:rsid w:val="004863D8"/>
  </w:style>
  <w:style w:styleId="Bibliography" w:type="paragraph">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customStyle="1" w:styleId="EndnoteTextChar" w:type="character">
    <w:name w:val="Endnote Text Char"/>
    <w:basedOn w:val="DefaultParagraphFont"/>
    <w:link w:val="EndnoteText"/>
    <w:uiPriority w:val="99"/>
    <w:semiHidden/>
    <w:rsid w:val="004863D8"/>
    <w:rPr>
      <w:rFonts w:eastAsiaTheme="minorEastAsia"/>
      <w:kern w:val="0"/>
      <w:sz w:val="20"/>
      <w:szCs w:val="20"/>
      <w:lang w:eastAsia="zh-CN"/>
      <w14:ligatures w14:val="none"/>
    </w:rPr>
  </w:style>
  <w:style w:styleId="EndnoteText" w:type="paragraph">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customStyle="1" w:styleId="TextonotaalfinalCar1" w:type="character">
    <w:name w:val="Texto nota al final Car1"/>
    <w:basedOn w:val="DefaultParagraphFont"/>
    <w:uiPriority w:val="99"/>
    <w:semiHidden/>
    <w:rsid w:val="004863D8"/>
    <w:rPr>
      <w:sz w:val="20"/>
      <w:szCs w:val="20"/>
    </w:rPr>
  </w:style>
  <w:style w:customStyle="1" w:styleId="p1" w:type="paragraph">
    <w:name w:val="p1"/>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s2" w:type="character">
    <w:name w:val="s2"/>
    <w:basedOn w:val="DefaultParagraphFont"/>
    <w:rsid w:val="004863D8"/>
  </w:style>
  <w:style w:customStyle="1" w:styleId="s1" w:type="character">
    <w:name w:val="s1"/>
    <w:basedOn w:val="DefaultParagraphFont"/>
    <w:rsid w:val="004863D8"/>
  </w:style>
  <w:style w:customStyle="1" w:styleId="p2" w:type="paragraph">
    <w:name w:val="p2"/>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lang w:val="en-US"/>
      <w14:ligatures w14:val="none"/>
    </w:rPr>
  </w:style>
  <w:style w:customStyle="1" w:styleId="p3" w:type="paragraph">
    <w:name w:val="p3"/>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p4" w:type="paragraph">
    <w:name w:val="p4"/>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styleId="GridTable4-Accent1" w:type="table">
    <w:name w:val="Grid Table 4 Accent 1"/>
    <w:basedOn w:val="TableNormal"/>
    <w:uiPriority w:val="49"/>
    <w:rsid w:val="004863D8"/>
    <w:pPr>
      <w:spacing w:after="0" w:line="240" w:lineRule="auto"/>
    </w:pPr>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41" Target="media/rId41.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10" Target="media/rId110.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177" Target="media/rId177.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03" Target="media/rId203.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16" Target="media/rId216.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34" Target="media/rId234.png" /><Relationship Type="http://schemas.openxmlformats.org/officeDocument/2006/relationships/image" Id="rId237" Target="media/rId2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Integral Territorial — Provincia Turística y Agroecológica</dc:title>
  <dc:creator>Proyecto Provincias · Planes Estratégicos Provinciales de Antioquia</dc:creator>
  <dc:language>es</dc:language>
  <cp:keywords/>
  <dcterms:created xsi:type="dcterms:W3CDTF">2026-08-18T16:18:29Z</dcterms:created>
  <dcterms:modified xsi:type="dcterms:W3CDTF">2026-08-18T16:18:29Z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de agosto de 2026</vt:lpwstr>
  </property>
  <property fmtid="{D5CDD505-2E9C-101B-9397-08002B2CF9AE}" pid="3" name="subtitle">
    <vt:lpwstr>Contexto departamental y provincial extendido</vt:lpwstr>
  </property>
</Properties>
</file>