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D1445" w14:textId="77777777" w:rsidR="00723BD7" w:rsidRDefault="00000000">
      <w:pPr>
        <w:spacing w:before="2000" w:after="240"/>
        <w:jc w:val="center"/>
      </w:pPr>
      <w:r>
        <w:rPr>
          <w:b/>
          <w:bCs/>
          <w:color w:val="4D784E"/>
          <w:sz w:val="44"/>
          <w:szCs w:val="44"/>
        </w:rPr>
        <w:t>Semantic Alignment of the Flourishing Business Model Canvas and Causal Loop Diagrams</w:t>
      </w:r>
    </w:p>
    <w:p w14:paraId="1C6F6E9D" w14:textId="77777777" w:rsidR="00723BD7" w:rsidRDefault="00000000">
      <w:pPr>
        <w:spacing w:after="160"/>
        <w:jc w:val="center"/>
      </w:pPr>
      <w:r>
        <w:rPr>
          <w:i/>
          <w:iCs/>
          <w:color w:val="333333"/>
          <w:sz w:val="26"/>
          <w:szCs w:val="26"/>
        </w:rPr>
        <w:t>A concept-level ontology and method for keeping FBMC, CLD, System Dynamics and financial models integrated and synchronized</w:t>
      </w:r>
    </w:p>
    <w:p w14:paraId="79F344D0" w14:textId="77777777" w:rsidR="00723BD7" w:rsidRDefault="00000000">
      <w:pPr>
        <w:spacing w:before="400"/>
        <w:jc w:val="center"/>
      </w:pPr>
      <w:r>
        <w:t>SustainableTogether / INCOSE Sustainability Working Group</w:t>
      </w:r>
    </w:p>
    <w:p w14:paraId="04A3E038" w14:textId="77777777" w:rsidR="00723BD7" w:rsidRDefault="00000000">
      <w:pPr>
        <w:jc w:val="center"/>
      </w:pPr>
      <w:r>
        <w:rPr>
          <w:color w:val="666666"/>
        </w:rPr>
        <w:t>Version 0.1 — concept draft for review · July 2026</w:t>
      </w:r>
    </w:p>
    <w:p w14:paraId="1DDD732D" w14:textId="77777777" w:rsidR="00723BD7" w:rsidRDefault="00000000">
      <w:pPr>
        <w:spacing w:before="200"/>
        <w:jc w:val="center"/>
      </w:pPr>
      <w:r>
        <w:rPr>
          <w:i/>
          <w:iCs/>
          <w:color w:val="666666"/>
          <w:sz w:val="20"/>
          <w:szCs w:val="20"/>
        </w:rPr>
        <w:t>Companion artifact: FBMC-CLD-Alignment-Ontology.drawio (4 editable pages)</w:t>
      </w:r>
    </w:p>
    <w:p w14:paraId="53984CFA" w14:textId="77777777" w:rsidR="00723BD7" w:rsidRDefault="00000000">
      <w:r>
        <w:br w:type="page"/>
      </w:r>
    </w:p>
    <w:p w14:paraId="14CE058A" w14:textId="77777777" w:rsidR="00723BD7" w:rsidRDefault="00000000">
      <w:pPr>
        <w:pStyle w:val="Heading1"/>
        <w:spacing w:before="320" w:after="160"/>
      </w:pPr>
      <w:bookmarkStart w:id="0" w:name="_Toc233908298"/>
      <w:r>
        <w:rPr>
          <w:b/>
          <w:bCs/>
          <w:color w:val="4D784E"/>
          <w:sz w:val="30"/>
          <w:szCs w:val="30"/>
        </w:rPr>
        <w:lastRenderedPageBreak/>
        <w:t>Contents</w:t>
      </w:r>
      <w:bookmarkEnd w:id="0"/>
    </w:p>
    <w:sdt>
      <w:sdtPr>
        <w:alias w:val="Contents"/>
        <w:id w:val="563615385"/>
      </w:sdtPr>
      <w:sdtContent>
        <w:p w14:paraId="3EB73621" w14:textId="77777777" w:rsidR="00354F8A" w:rsidRDefault="00000000">
          <w:pPr>
            <w:pStyle w:val="TOC1"/>
            <w:tabs>
              <w:tab w:val="right" w:leader="dot" w:pos="9016"/>
            </w:tabs>
            <w:rPr>
              <w:noProof/>
            </w:rPr>
          </w:pPr>
          <w:r>
            <w:fldChar w:fldCharType="begin"/>
          </w:r>
          <w:r>
            <w:instrText>TOC \h \o "1-2"</w:instrText>
          </w:r>
          <w:r>
            <w:fldChar w:fldCharType="separate"/>
          </w:r>
          <w:hyperlink w:anchor="_Toc233908298" w:history="1">
            <w:r w:rsidR="00354F8A" w:rsidRPr="00E2663D">
              <w:rPr>
                <w:rStyle w:val="Hyperlink"/>
                <w:b/>
                <w:bCs/>
                <w:noProof/>
              </w:rPr>
              <w:t>Contents</w:t>
            </w:r>
            <w:r w:rsidR="00354F8A">
              <w:rPr>
                <w:noProof/>
              </w:rPr>
              <w:tab/>
            </w:r>
            <w:r w:rsidR="00354F8A">
              <w:rPr>
                <w:noProof/>
              </w:rPr>
              <w:fldChar w:fldCharType="begin"/>
            </w:r>
            <w:r w:rsidR="00354F8A">
              <w:rPr>
                <w:noProof/>
              </w:rPr>
              <w:instrText xml:space="preserve"> PAGEREF _Toc233908298 \h </w:instrText>
            </w:r>
            <w:r w:rsidR="00354F8A">
              <w:rPr>
                <w:noProof/>
              </w:rPr>
            </w:r>
            <w:r w:rsidR="00354F8A">
              <w:rPr>
                <w:noProof/>
              </w:rPr>
              <w:fldChar w:fldCharType="separate"/>
            </w:r>
            <w:r w:rsidR="00354F8A">
              <w:rPr>
                <w:noProof/>
              </w:rPr>
              <w:t>2</w:t>
            </w:r>
            <w:r w:rsidR="00354F8A">
              <w:rPr>
                <w:noProof/>
              </w:rPr>
              <w:fldChar w:fldCharType="end"/>
            </w:r>
          </w:hyperlink>
        </w:p>
        <w:p w14:paraId="15A47645" w14:textId="77777777" w:rsidR="00354F8A" w:rsidRDefault="00354F8A">
          <w:pPr>
            <w:pStyle w:val="TOC1"/>
            <w:tabs>
              <w:tab w:val="right" w:leader="dot" w:pos="9016"/>
            </w:tabs>
            <w:rPr>
              <w:noProof/>
            </w:rPr>
          </w:pPr>
          <w:hyperlink w:anchor="_Toc233908299" w:history="1">
            <w:r w:rsidRPr="00E2663D">
              <w:rPr>
                <w:rStyle w:val="Hyperlink"/>
                <w:b/>
                <w:bCs/>
                <w:noProof/>
              </w:rPr>
              <w:t>1. Purpose and Scope</w:t>
            </w:r>
            <w:r>
              <w:rPr>
                <w:noProof/>
              </w:rPr>
              <w:tab/>
            </w:r>
            <w:r>
              <w:rPr>
                <w:noProof/>
              </w:rPr>
              <w:fldChar w:fldCharType="begin"/>
            </w:r>
            <w:r>
              <w:rPr>
                <w:noProof/>
              </w:rPr>
              <w:instrText xml:space="preserve"> PAGEREF _Toc233908299 \h </w:instrText>
            </w:r>
            <w:r>
              <w:rPr>
                <w:noProof/>
              </w:rPr>
            </w:r>
            <w:r>
              <w:rPr>
                <w:noProof/>
              </w:rPr>
              <w:fldChar w:fldCharType="separate"/>
            </w:r>
            <w:r>
              <w:rPr>
                <w:noProof/>
              </w:rPr>
              <w:t>3</w:t>
            </w:r>
            <w:r>
              <w:rPr>
                <w:noProof/>
              </w:rPr>
              <w:fldChar w:fldCharType="end"/>
            </w:r>
          </w:hyperlink>
        </w:p>
        <w:p w14:paraId="6159E638" w14:textId="77777777" w:rsidR="00354F8A" w:rsidRDefault="00354F8A">
          <w:pPr>
            <w:pStyle w:val="TOC1"/>
            <w:tabs>
              <w:tab w:val="right" w:leader="dot" w:pos="9016"/>
            </w:tabs>
            <w:rPr>
              <w:noProof/>
            </w:rPr>
          </w:pPr>
          <w:hyperlink w:anchor="_Toc233908300" w:history="1">
            <w:r w:rsidRPr="00E2663D">
              <w:rPr>
                <w:rStyle w:val="Hyperlink"/>
                <w:b/>
                <w:bCs/>
                <w:noProof/>
              </w:rPr>
              <w:t>2. Motivation: How Alignment Breaks Down</w:t>
            </w:r>
            <w:r>
              <w:rPr>
                <w:noProof/>
              </w:rPr>
              <w:tab/>
            </w:r>
            <w:r>
              <w:rPr>
                <w:noProof/>
              </w:rPr>
              <w:fldChar w:fldCharType="begin"/>
            </w:r>
            <w:r>
              <w:rPr>
                <w:noProof/>
              </w:rPr>
              <w:instrText xml:space="preserve"> PAGEREF _Toc233908300 \h </w:instrText>
            </w:r>
            <w:r>
              <w:rPr>
                <w:noProof/>
              </w:rPr>
            </w:r>
            <w:r>
              <w:rPr>
                <w:noProof/>
              </w:rPr>
              <w:fldChar w:fldCharType="separate"/>
            </w:r>
            <w:r>
              <w:rPr>
                <w:noProof/>
              </w:rPr>
              <w:t>3</w:t>
            </w:r>
            <w:r>
              <w:rPr>
                <w:noProof/>
              </w:rPr>
              <w:fldChar w:fldCharType="end"/>
            </w:r>
          </w:hyperlink>
        </w:p>
        <w:p w14:paraId="50E1D22D" w14:textId="77777777" w:rsidR="00354F8A" w:rsidRDefault="00354F8A">
          <w:pPr>
            <w:pStyle w:val="TOC1"/>
            <w:tabs>
              <w:tab w:val="right" w:leader="dot" w:pos="9016"/>
            </w:tabs>
            <w:rPr>
              <w:noProof/>
            </w:rPr>
          </w:pPr>
          <w:hyperlink w:anchor="_Toc233908301" w:history="1">
            <w:r w:rsidRPr="00E2663D">
              <w:rPr>
                <w:rStyle w:val="Hyperlink"/>
                <w:b/>
                <w:bCs/>
                <w:noProof/>
              </w:rPr>
              <w:t>3. The General Method: Hub-and-Spoke Semantic Alignment</w:t>
            </w:r>
            <w:r>
              <w:rPr>
                <w:noProof/>
              </w:rPr>
              <w:tab/>
            </w:r>
            <w:r>
              <w:rPr>
                <w:noProof/>
              </w:rPr>
              <w:fldChar w:fldCharType="begin"/>
            </w:r>
            <w:r>
              <w:rPr>
                <w:noProof/>
              </w:rPr>
              <w:instrText xml:space="preserve"> PAGEREF _Toc233908301 \h </w:instrText>
            </w:r>
            <w:r>
              <w:rPr>
                <w:noProof/>
              </w:rPr>
            </w:r>
            <w:r>
              <w:rPr>
                <w:noProof/>
              </w:rPr>
              <w:fldChar w:fldCharType="separate"/>
            </w:r>
            <w:r>
              <w:rPr>
                <w:noProof/>
              </w:rPr>
              <w:t>3</w:t>
            </w:r>
            <w:r>
              <w:rPr>
                <w:noProof/>
              </w:rPr>
              <w:fldChar w:fldCharType="end"/>
            </w:r>
          </w:hyperlink>
        </w:p>
        <w:p w14:paraId="0248EE67" w14:textId="77777777" w:rsidR="00354F8A" w:rsidRDefault="00354F8A">
          <w:pPr>
            <w:pStyle w:val="TOC1"/>
            <w:tabs>
              <w:tab w:val="right" w:leader="dot" w:pos="9016"/>
            </w:tabs>
            <w:rPr>
              <w:noProof/>
            </w:rPr>
          </w:pPr>
          <w:hyperlink w:anchor="_Toc233908302" w:history="1">
            <w:r w:rsidRPr="00E2663D">
              <w:rPr>
                <w:rStyle w:val="Hyperlink"/>
                <w:b/>
                <w:bCs/>
                <w:noProof/>
              </w:rPr>
              <w:t>4. Metamodel A — The FBMC (SSBMO)</w:t>
            </w:r>
            <w:r>
              <w:rPr>
                <w:noProof/>
              </w:rPr>
              <w:tab/>
            </w:r>
            <w:r>
              <w:rPr>
                <w:noProof/>
              </w:rPr>
              <w:fldChar w:fldCharType="begin"/>
            </w:r>
            <w:r>
              <w:rPr>
                <w:noProof/>
              </w:rPr>
              <w:instrText xml:space="preserve"> PAGEREF _Toc233908302 \h </w:instrText>
            </w:r>
            <w:r>
              <w:rPr>
                <w:noProof/>
              </w:rPr>
            </w:r>
            <w:r>
              <w:rPr>
                <w:noProof/>
              </w:rPr>
              <w:fldChar w:fldCharType="separate"/>
            </w:r>
            <w:r>
              <w:rPr>
                <w:noProof/>
              </w:rPr>
              <w:t>5</w:t>
            </w:r>
            <w:r>
              <w:rPr>
                <w:noProof/>
              </w:rPr>
              <w:fldChar w:fldCharType="end"/>
            </w:r>
          </w:hyperlink>
        </w:p>
        <w:p w14:paraId="42EEA808" w14:textId="77777777" w:rsidR="00354F8A" w:rsidRDefault="00354F8A">
          <w:pPr>
            <w:pStyle w:val="TOC1"/>
            <w:tabs>
              <w:tab w:val="right" w:leader="dot" w:pos="9016"/>
            </w:tabs>
            <w:rPr>
              <w:noProof/>
            </w:rPr>
          </w:pPr>
          <w:hyperlink w:anchor="_Toc233908303" w:history="1">
            <w:r w:rsidRPr="00E2663D">
              <w:rPr>
                <w:rStyle w:val="Hyperlink"/>
                <w:b/>
                <w:bCs/>
                <w:noProof/>
              </w:rPr>
              <w:t>5. Metamodel B — The Causal Loop Diagram</w:t>
            </w:r>
            <w:r>
              <w:rPr>
                <w:noProof/>
              </w:rPr>
              <w:tab/>
            </w:r>
            <w:r>
              <w:rPr>
                <w:noProof/>
              </w:rPr>
              <w:fldChar w:fldCharType="begin"/>
            </w:r>
            <w:r>
              <w:rPr>
                <w:noProof/>
              </w:rPr>
              <w:instrText xml:space="preserve"> PAGEREF _Toc233908303 \h </w:instrText>
            </w:r>
            <w:r>
              <w:rPr>
                <w:noProof/>
              </w:rPr>
            </w:r>
            <w:r>
              <w:rPr>
                <w:noProof/>
              </w:rPr>
              <w:fldChar w:fldCharType="separate"/>
            </w:r>
            <w:r>
              <w:rPr>
                <w:noProof/>
              </w:rPr>
              <w:t>5</w:t>
            </w:r>
            <w:r>
              <w:rPr>
                <w:noProof/>
              </w:rPr>
              <w:fldChar w:fldCharType="end"/>
            </w:r>
          </w:hyperlink>
        </w:p>
        <w:p w14:paraId="58B100BE" w14:textId="77777777" w:rsidR="00354F8A" w:rsidRDefault="00354F8A">
          <w:pPr>
            <w:pStyle w:val="TOC1"/>
            <w:tabs>
              <w:tab w:val="right" w:leader="dot" w:pos="9016"/>
            </w:tabs>
            <w:rPr>
              <w:noProof/>
            </w:rPr>
          </w:pPr>
          <w:hyperlink w:anchor="_Toc233908304" w:history="1">
            <w:r w:rsidRPr="00E2663D">
              <w:rPr>
                <w:rStyle w:val="Hyperlink"/>
                <w:b/>
                <w:bCs/>
                <w:noProof/>
              </w:rPr>
              <w:t>6. The Bridge: MeasurableAttribute and the Concept Registry</w:t>
            </w:r>
            <w:r>
              <w:rPr>
                <w:noProof/>
              </w:rPr>
              <w:tab/>
            </w:r>
            <w:r>
              <w:rPr>
                <w:noProof/>
              </w:rPr>
              <w:fldChar w:fldCharType="begin"/>
            </w:r>
            <w:r>
              <w:rPr>
                <w:noProof/>
              </w:rPr>
              <w:instrText xml:space="preserve"> PAGEREF _Toc233908304 \h </w:instrText>
            </w:r>
            <w:r>
              <w:rPr>
                <w:noProof/>
              </w:rPr>
            </w:r>
            <w:r>
              <w:rPr>
                <w:noProof/>
              </w:rPr>
              <w:fldChar w:fldCharType="separate"/>
            </w:r>
            <w:r>
              <w:rPr>
                <w:noProof/>
              </w:rPr>
              <w:t>5</w:t>
            </w:r>
            <w:r>
              <w:rPr>
                <w:noProof/>
              </w:rPr>
              <w:fldChar w:fldCharType="end"/>
            </w:r>
          </w:hyperlink>
        </w:p>
        <w:p w14:paraId="19764E98" w14:textId="77777777" w:rsidR="00354F8A" w:rsidRDefault="00354F8A">
          <w:pPr>
            <w:pStyle w:val="TOC2"/>
            <w:tabs>
              <w:tab w:val="right" w:leader="dot" w:pos="9016"/>
            </w:tabs>
            <w:rPr>
              <w:noProof/>
            </w:rPr>
          </w:pPr>
          <w:hyperlink w:anchor="_Toc233908305" w:history="1">
            <w:r w:rsidRPr="00E2663D">
              <w:rPr>
                <w:rStyle w:val="Hyperlink"/>
                <w:b/>
                <w:bCs/>
                <w:noProof/>
              </w:rPr>
              <w:t>6.1 Derivation rules (type level)</w:t>
            </w:r>
            <w:r>
              <w:rPr>
                <w:noProof/>
              </w:rPr>
              <w:tab/>
            </w:r>
            <w:r>
              <w:rPr>
                <w:noProof/>
              </w:rPr>
              <w:fldChar w:fldCharType="begin"/>
            </w:r>
            <w:r>
              <w:rPr>
                <w:noProof/>
              </w:rPr>
              <w:instrText xml:space="preserve"> PAGEREF _Toc233908305 \h </w:instrText>
            </w:r>
            <w:r>
              <w:rPr>
                <w:noProof/>
              </w:rPr>
            </w:r>
            <w:r>
              <w:rPr>
                <w:noProof/>
              </w:rPr>
              <w:fldChar w:fldCharType="separate"/>
            </w:r>
            <w:r>
              <w:rPr>
                <w:noProof/>
              </w:rPr>
              <w:t>6</w:t>
            </w:r>
            <w:r>
              <w:rPr>
                <w:noProof/>
              </w:rPr>
              <w:fldChar w:fldCharType="end"/>
            </w:r>
          </w:hyperlink>
        </w:p>
        <w:p w14:paraId="6AB1E154" w14:textId="77777777" w:rsidR="00354F8A" w:rsidRDefault="00354F8A">
          <w:pPr>
            <w:pStyle w:val="TOC2"/>
            <w:tabs>
              <w:tab w:val="right" w:leader="dot" w:pos="9016"/>
            </w:tabs>
            <w:rPr>
              <w:noProof/>
            </w:rPr>
          </w:pPr>
          <w:hyperlink w:anchor="_Toc233908306" w:history="1">
            <w:r w:rsidRPr="00E2663D">
              <w:rPr>
                <w:rStyle w:val="Hyperlink"/>
                <w:b/>
                <w:bCs/>
                <w:noProof/>
              </w:rPr>
              <w:t>6.2 Synchronization invariants</w:t>
            </w:r>
            <w:r>
              <w:rPr>
                <w:noProof/>
              </w:rPr>
              <w:tab/>
            </w:r>
            <w:r>
              <w:rPr>
                <w:noProof/>
              </w:rPr>
              <w:fldChar w:fldCharType="begin"/>
            </w:r>
            <w:r>
              <w:rPr>
                <w:noProof/>
              </w:rPr>
              <w:instrText xml:space="preserve"> PAGEREF _Toc233908306 \h </w:instrText>
            </w:r>
            <w:r>
              <w:rPr>
                <w:noProof/>
              </w:rPr>
            </w:r>
            <w:r>
              <w:rPr>
                <w:noProof/>
              </w:rPr>
              <w:fldChar w:fldCharType="separate"/>
            </w:r>
            <w:r>
              <w:rPr>
                <w:noProof/>
              </w:rPr>
              <w:t>6</w:t>
            </w:r>
            <w:r>
              <w:rPr>
                <w:noProof/>
              </w:rPr>
              <w:fldChar w:fldCharType="end"/>
            </w:r>
          </w:hyperlink>
        </w:p>
        <w:p w14:paraId="451E31A0" w14:textId="77777777" w:rsidR="00354F8A" w:rsidRDefault="00354F8A">
          <w:pPr>
            <w:pStyle w:val="TOC1"/>
            <w:tabs>
              <w:tab w:val="right" w:leader="dot" w:pos="9016"/>
            </w:tabs>
            <w:rPr>
              <w:noProof/>
            </w:rPr>
          </w:pPr>
          <w:hyperlink w:anchor="_Toc233908307" w:history="1">
            <w:r w:rsidRPr="00E2663D">
              <w:rPr>
                <w:rStyle w:val="Hyperlink"/>
                <w:b/>
                <w:bCs/>
                <w:noProof/>
              </w:rPr>
              <w:t>7. The Complete FBMC → CLD Mapping</w:t>
            </w:r>
            <w:r>
              <w:rPr>
                <w:noProof/>
              </w:rPr>
              <w:tab/>
            </w:r>
            <w:r>
              <w:rPr>
                <w:noProof/>
              </w:rPr>
              <w:fldChar w:fldCharType="begin"/>
            </w:r>
            <w:r>
              <w:rPr>
                <w:noProof/>
              </w:rPr>
              <w:instrText xml:space="preserve"> PAGEREF _Toc233908307 \h </w:instrText>
            </w:r>
            <w:r>
              <w:rPr>
                <w:noProof/>
              </w:rPr>
            </w:r>
            <w:r>
              <w:rPr>
                <w:noProof/>
              </w:rPr>
              <w:fldChar w:fldCharType="separate"/>
            </w:r>
            <w:r>
              <w:rPr>
                <w:noProof/>
              </w:rPr>
              <w:t>7</w:t>
            </w:r>
            <w:r>
              <w:rPr>
                <w:noProof/>
              </w:rPr>
              <w:fldChar w:fldCharType="end"/>
            </w:r>
          </w:hyperlink>
        </w:p>
        <w:p w14:paraId="3262A65C" w14:textId="77777777" w:rsidR="00354F8A" w:rsidRDefault="00354F8A">
          <w:pPr>
            <w:pStyle w:val="TOC1"/>
            <w:tabs>
              <w:tab w:val="right" w:leader="dot" w:pos="9016"/>
            </w:tabs>
            <w:rPr>
              <w:noProof/>
            </w:rPr>
          </w:pPr>
          <w:hyperlink w:anchor="_Toc233908308" w:history="1">
            <w:r w:rsidRPr="00E2663D">
              <w:rPr>
                <w:rStyle w:val="Hyperlink"/>
                <w:b/>
                <w:bCs/>
                <w:noProof/>
              </w:rPr>
              <w:t>8. The Generic FBMC-Derived CLD</w:t>
            </w:r>
            <w:r>
              <w:rPr>
                <w:noProof/>
              </w:rPr>
              <w:tab/>
            </w:r>
            <w:r>
              <w:rPr>
                <w:noProof/>
              </w:rPr>
              <w:fldChar w:fldCharType="begin"/>
            </w:r>
            <w:r>
              <w:rPr>
                <w:noProof/>
              </w:rPr>
              <w:instrText xml:space="preserve"> PAGEREF _Toc233908308 \h </w:instrText>
            </w:r>
            <w:r>
              <w:rPr>
                <w:noProof/>
              </w:rPr>
            </w:r>
            <w:r>
              <w:rPr>
                <w:noProof/>
              </w:rPr>
              <w:fldChar w:fldCharType="separate"/>
            </w:r>
            <w:r>
              <w:rPr>
                <w:noProof/>
              </w:rPr>
              <w:t>8</w:t>
            </w:r>
            <w:r>
              <w:rPr>
                <w:noProof/>
              </w:rPr>
              <w:fldChar w:fldCharType="end"/>
            </w:r>
          </w:hyperlink>
        </w:p>
        <w:p w14:paraId="0D94EC18" w14:textId="77777777" w:rsidR="00354F8A" w:rsidRDefault="00354F8A">
          <w:pPr>
            <w:pStyle w:val="TOC1"/>
            <w:tabs>
              <w:tab w:val="right" w:leader="dot" w:pos="9016"/>
            </w:tabs>
            <w:rPr>
              <w:noProof/>
            </w:rPr>
          </w:pPr>
          <w:hyperlink w:anchor="_Toc233908309" w:history="1">
            <w:r w:rsidRPr="00E2663D">
              <w:rPr>
                <w:rStyle w:val="Hyperlink"/>
                <w:b/>
                <w:bCs/>
                <w:noProof/>
              </w:rPr>
              <w:t>9. Synchronization Workflow</w:t>
            </w:r>
            <w:r>
              <w:rPr>
                <w:noProof/>
              </w:rPr>
              <w:tab/>
            </w:r>
            <w:r>
              <w:rPr>
                <w:noProof/>
              </w:rPr>
              <w:fldChar w:fldCharType="begin"/>
            </w:r>
            <w:r>
              <w:rPr>
                <w:noProof/>
              </w:rPr>
              <w:instrText xml:space="preserve"> PAGEREF _Toc233908309 \h </w:instrText>
            </w:r>
            <w:r>
              <w:rPr>
                <w:noProof/>
              </w:rPr>
            </w:r>
            <w:r>
              <w:rPr>
                <w:noProof/>
              </w:rPr>
              <w:fldChar w:fldCharType="separate"/>
            </w:r>
            <w:r>
              <w:rPr>
                <w:noProof/>
              </w:rPr>
              <w:t>8</w:t>
            </w:r>
            <w:r>
              <w:rPr>
                <w:noProof/>
              </w:rPr>
              <w:fldChar w:fldCharType="end"/>
            </w:r>
          </w:hyperlink>
        </w:p>
        <w:p w14:paraId="253211F0" w14:textId="77777777" w:rsidR="00354F8A" w:rsidRDefault="00354F8A">
          <w:pPr>
            <w:pStyle w:val="TOC1"/>
            <w:tabs>
              <w:tab w:val="right" w:leader="dot" w:pos="9016"/>
            </w:tabs>
            <w:rPr>
              <w:noProof/>
            </w:rPr>
          </w:pPr>
          <w:hyperlink w:anchor="_Toc233908310" w:history="1">
            <w:r w:rsidRPr="00E2663D">
              <w:rPr>
                <w:rStyle w:val="Hyperlink"/>
                <w:b/>
                <w:bCs/>
                <w:noProof/>
              </w:rPr>
              <w:t>10. Roadmap: From Concept to the PV Instantiation</w:t>
            </w:r>
            <w:r>
              <w:rPr>
                <w:noProof/>
              </w:rPr>
              <w:tab/>
            </w:r>
            <w:r>
              <w:rPr>
                <w:noProof/>
              </w:rPr>
              <w:fldChar w:fldCharType="begin"/>
            </w:r>
            <w:r>
              <w:rPr>
                <w:noProof/>
              </w:rPr>
              <w:instrText xml:space="preserve"> PAGEREF _Toc233908310 \h </w:instrText>
            </w:r>
            <w:r>
              <w:rPr>
                <w:noProof/>
              </w:rPr>
            </w:r>
            <w:r>
              <w:rPr>
                <w:noProof/>
              </w:rPr>
              <w:fldChar w:fldCharType="separate"/>
            </w:r>
            <w:r>
              <w:rPr>
                <w:noProof/>
              </w:rPr>
              <w:t>9</w:t>
            </w:r>
            <w:r>
              <w:rPr>
                <w:noProof/>
              </w:rPr>
              <w:fldChar w:fldCharType="end"/>
            </w:r>
          </w:hyperlink>
        </w:p>
        <w:p w14:paraId="0CE6E707" w14:textId="77777777" w:rsidR="00354F8A" w:rsidRDefault="00354F8A">
          <w:pPr>
            <w:pStyle w:val="TOC1"/>
            <w:tabs>
              <w:tab w:val="right" w:leader="dot" w:pos="9016"/>
            </w:tabs>
            <w:rPr>
              <w:noProof/>
            </w:rPr>
          </w:pPr>
          <w:hyperlink w:anchor="_Toc233908311" w:history="1">
            <w:r w:rsidRPr="00E2663D">
              <w:rPr>
                <w:rStyle w:val="Hyperlink"/>
                <w:b/>
                <w:bCs/>
                <w:noProof/>
              </w:rPr>
              <w:t>11. References</w:t>
            </w:r>
            <w:r>
              <w:rPr>
                <w:noProof/>
              </w:rPr>
              <w:tab/>
            </w:r>
            <w:r>
              <w:rPr>
                <w:noProof/>
              </w:rPr>
              <w:fldChar w:fldCharType="begin"/>
            </w:r>
            <w:r>
              <w:rPr>
                <w:noProof/>
              </w:rPr>
              <w:instrText xml:space="preserve"> PAGEREF _Toc233908311 \h </w:instrText>
            </w:r>
            <w:r>
              <w:rPr>
                <w:noProof/>
              </w:rPr>
            </w:r>
            <w:r>
              <w:rPr>
                <w:noProof/>
              </w:rPr>
              <w:fldChar w:fldCharType="separate"/>
            </w:r>
            <w:r>
              <w:rPr>
                <w:noProof/>
              </w:rPr>
              <w:t>9</w:t>
            </w:r>
            <w:r>
              <w:rPr>
                <w:noProof/>
              </w:rPr>
              <w:fldChar w:fldCharType="end"/>
            </w:r>
          </w:hyperlink>
        </w:p>
        <w:p w14:paraId="1139ABEC" w14:textId="77777777" w:rsidR="00723BD7" w:rsidRDefault="00000000">
          <w:r>
            <w:fldChar w:fldCharType="end"/>
          </w:r>
        </w:p>
      </w:sdtContent>
    </w:sdt>
    <w:p w14:paraId="6C852EEF" w14:textId="77777777" w:rsidR="00723BD7" w:rsidRDefault="00000000">
      <w:r>
        <w:br w:type="page"/>
      </w:r>
    </w:p>
    <w:p w14:paraId="4C667B7D" w14:textId="77777777" w:rsidR="00723BD7" w:rsidRDefault="00000000">
      <w:pPr>
        <w:pStyle w:val="Heading1"/>
        <w:spacing w:before="320" w:after="160"/>
      </w:pPr>
      <w:bookmarkStart w:id="1" w:name="_Toc233908299"/>
      <w:r>
        <w:rPr>
          <w:b/>
          <w:bCs/>
          <w:color w:val="4D784E"/>
          <w:sz w:val="30"/>
          <w:szCs w:val="30"/>
        </w:rPr>
        <w:lastRenderedPageBreak/>
        <w:t>1. Purpose and Scope</w:t>
      </w:r>
      <w:bookmarkEnd w:id="1"/>
    </w:p>
    <w:p w14:paraId="129C3D36" w14:textId="77777777" w:rsidR="00723BD7" w:rsidRDefault="00000000">
      <w:pPr>
        <w:spacing w:after="160" w:line="276" w:lineRule="auto"/>
      </w:pPr>
      <w:r>
        <w:t>This document defines how a Flourishing Business Model Canvas (FBMC) and a Causal Loop Diagram (CLD) can be integrated so that the CLD is provably a dynamic view of the business model described in the canvas, and so that the two artifacts stay aligned as either evolves. The method is deliberately generic: it contains no project-specific content and can be reused for any enterprise. Its first application will be the SustainaSun photovoltaic business model, followed by translation into a Vensim System Dynamics model and binding to the Excel financial model.</w:t>
      </w:r>
    </w:p>
    <w:p w14:paraId="0EE4E915" w14:textId="77777777" w:rsidR="00723BD7" w:rsidRDefault="00000000">
      <w:pPr>
        <w:spacing w:after="160" w:line="276" w:lineRule="auto"/>
      </w:pPr>
      <w:r>
        <w:t>The FBMC is treated as the authoritative starting point. It is grounded in the Strongly Sustainable Business Model Ontology (SSBMO) of Upward and Jones (2015), which gives every canvas block a precise ontological meaning. The CLD, the later stock-and-flow model, and the financial model are downstream projections of the same underlying concepts.</w:t>
      </w:r>
    </w:p>
    <w:p w14:paraId="7ECE8166" w14:textId="77777777" w:rsidR="00723BD7" w:rsidRDefault="00000000">
      <w:pPr>
        <w:pStyle w:val="Heading1"/>
        <w:spacing w:before="320" w:after="160"/>
      </w:pPr>
      <w:bookmarkStart w:id="2" w:name="_Toc233908300"/>
      <w:r>
        <w:rPr>
          <w:b/>
          <w:bCs/>
          <w:color w:val="4D784E"/>
          <w:sz w:val="30"/>
          <w:szCs w:val="30"/>
        </w:rPr>
        <w:t>2. Motivation: How Alignment Breaks Down</w:t>
      </w:r>
      <w:bookmarkEnd w:id="2"/>
    </w:p>
    <w:p w14:paraId="53471DCA" w14:textId="77777777" w:rsidR="00723BD7" w:rsidRDefault="00000000">
      <w:pPr>
        <w:spacing w:after="160" w:line="276" w:lineRule="auto"/>
      </w:pPr>
      <w:r>
        <w:t>The canvas and the diagram speak different languages. The FBMC describes things — actors, resources, activities, value propositions — and the relations between them; it has no notion of time. A CLD describes quantities that rise and fall, and the causal influences between them; it has no notion of actors or value propositions. When a CLD is authored freehand from a canvas, the translation lives only in the modeller's head. The predictable consequences, all observed between versions 1 and 2 of the SustainaSun papers, are:</w:t>
      </w:r>
    </w:p>
    <w:p w14:paraId="6A4EB269" w14:textId="77777777" w:rsidR="00723BD7" w:rsidRDefault="00000000">
      <w:pPr>
        <w:pStyle w:val="ListParagraph"/>
        <w:numPr>
          <w:ilvl w:val="0"/>
          <w:numId w:val="2"/>
        </w:numPr>
        <w:spacing w:after="80"/>
      </w:pPr>
      <w:r>
        <w:t>Vocabulary drift: the same concept renamed between versions with no mapping (e.g. “active customer base” vs. “leased PV-System customers”), destroying traceability.</w:t>
      </w:r>
    </w:p>
    <w:p w14:paraId="681F52CA" w14:textId="77777777" w:rsidR="00723BD7" w:rsidRDefault="00000000">
      <w:pPr>
        <w:pStyle w:val="ListParagraph"/>
        <w:numPr>
          <w:ilvl w:val="0"/>
          <w:numId w:val="2"/>
        </w:numPr>
        <w:spacing w:after="80"/>
      </w:pPr>
      <w:r>
        <w:t>Classification errors: a balancing loop labelled as reinforcing because loop polarity was asserted rather than derived from link polarities.</w:t>
      </w:r>
    </w:p>
    <w:p w14:paraId="14B7F7C3" w14:textId="77777777" w:rsidR="00723BD7" w:rsidRDefault="00000000">
      <w:pPr>
        <w:pStyle w:val="ListParagraph"/>
        <w:numPr>
          <w:ilvl w:val="0"/>
          <w:numId w:val="2"/>
        </w:numPr>
        <w:spacing w:after="80"/>
      </w:pPr>
      <w:r>
        <w:t>Semantic regression: distinct concepts collapsed into one variable (actual environmental benefit merged into perceived environmental reputation).</w:t>
      </w:r>
    </w:p>
    <w:p w14:paraId="70A8A849" w14:textId="77777777" w:rsidR="00723BD7" w:rsidRDefault="00000000">
      <w:pPr>
        <w:pStyle w:val="ListParagraph"/>
        <w:numPr>
          <w:ilvl w:val="0"/>
          <w:numId w:val="2"/>
        </w:numPr>
        <w:spacing w:after="80"/>
      </w:pPr>
      <w:r>
        <w:t>Ill-formed variables: compound names carrying two concepts, and direction-loaded names that pre-empt link polarity.</w:t>
      </w:r>
    </w:p>
    <w:p w14:paraId="114CFE6B" w14:textId="77777777" w:rsidR="00723BD7" w:rsidRDefault="00000000">
      <w:pPr>
        <w:pStyle w:val="ListParagraph"/>
        <w:numPr>
          <w:ilvl w:val="0"/>
          <w:numId w:val="2"/>
        </w:numPr>
        <w:spacing w:after="80"/>
      </w:pPr>
      <w:r>
        <w:t>Coverage gaps: canvas elements — ecological actors, value co-destructions, tri-profit goals — with no counterpart in the diagram, and diagram variables with no anchor in the canvas.</w:t>
      </w:r>
    </w:p>
    <w:p w14:paraId="51C91920" w14:textId="77777777" w:rsidR="00723BD7" w:rsidRDefault="00000000">
      <w:pPr>
        <w:spacing w:after="160" w:line="276" w:lineRule="auto"/>
      </w:pPr>
      <w:r>
        <w:t>None of these are modelling mistakes in the narrow sense; they are integration failures. They are prevented structurally by the method below, not by reviewer vigilance.</w:t>
      </w:r>
    </w:p>
    <w:p w14:paraId="2AD5BAB1" w14:textId="77777777" w:rsidR="00723BD7" w:rsidRDefault="00000000">
      <w:pPr>
        <w:pStyle w:val="Heading1"/>
        <w:spacing w:before="320" w:after="160"/>
      </w:pPr>
      <w:bookmarkStart w:id="3" w:name="_Toc233908301"/>
      <w:r>
        <w:rPr>
          <w:b/>
          <w:bCs/>
          <w:color w:val="4D784E"/>
          <w:sz w:val="30"/>
          <w:szCs w:val="30"/>
        </w:rPr>
        <w:t>3. The General Method: Hub-and-Spoke Semantic Alignment</w:t>
      </w:r>
      <w:bookmarkEnd w:id="3"/>
    </w:p>
    <w:p w14:paraId="6467D883" w14:textId="77777777" w:rsidR="00723BD7" w:rsidRDefault="00000000">
      <w:pPr>
        <w:spacing w:after="160" w:line="276" w:lineRule="auto"/>
      </w:pPr>
      <w:r>
        <w:t>Aligning two modelling domains pairwise invites drift, and every additional domain (System Dynamics, the financial model) multiplies the number of mappings to maintain. Instead, all domains are aligned once to a single shared reference — a Concept Registry — and every artifact becomes a projection of it. The method has five steps and generalizes to any pair (or set) of domains:</w:t>
      </w:r>
    </w:p>
    <w:p w14:paraId="7EEA0CFA" w14:textId="77777777" w:rsidR="00723BD7" w:rsidRDefault="00000000">
      <w:pPr>
        <w:pStyle w:val="ListParagraph"/>
        <w:numPr>
          <w:ilvl w:val="0"/>
          <w:numId w:val="3"/>
        </w:numPr>
        <w:spacing w:after="80"/>
      </w:pPr>
      <w:r>
        <w:t>Metamodel each domain separately. Make explicit what kinds of things each language talks about, before mapping anything. (Sections 4 and 5; draw.io pages 1 and 2.)</w:t>
      </w:r>
    </w:p>
    <w:p w14:paraId="7400C888" w14:textId="77777777" w:rsidR="00723BD7" w:rsidRDefault="00000000">
      <w:pPr>
        <w:pStyle w:val="ListParagraph"/>
        <w:numPr>
          <w:ilvl w:val="0"/>
          <w:numId w:val="3"/>
        </w:numPr>
        <w:spacing w:after="80"/>
      </w:pPr>
      <w:r>
        <w:lastRenderedPageBreak/>
        <w:t>Define the bridge concept that both domains can reference. For FBMC→CLD this is the MeasurableAttribute: canvas elements do not vary over time, but their measurable attributes do. (Section 6; draw.io page 3.)</w:t>
      </w:r>
    </w:p>
    <w:p w14:paraId="5D19F108" w14:textId="77777777" w:rsidR="00723BD7" w:rsidRDefault="00000000">
      <w:pPr>
        <w:pStyle w:val="ListParagraph"/>
        <w:numPr>
          <w:ilvl w:val="0"/>
          <w:numId w:val="3"/>
        </w:numPr>
        <w:spacing w:after="80"/>
      </w:pPr>
      <w:r>
        <w:t>Define derivation rules at the type level: which kinds of canvas elements yield which kinds of system variables (stocks, flows, auxiliaries, parameters).</w:t>
      </w:r>
    </w:p>
    <w:p w14:paraId="4740A1D6" w14:textId="77777777" w:rsidR="00723BD7" w:rsidRDefault="00000000">
      <w:pPr>
        <w:pStyle w:val="ListParagraph"/>
        <w:numPr>
          <w:ilvl w:val="0"/>
          <w:numId w:val="3"/>
        </w:numPr>
        <w:spacing w:after="80"/>
      </w:pPr>
      <w:r>
        <w:t>Define invariants that must hold after every change — coverage, traceability, well-formedness, derived loop polarity — and check them before publishing any artifact version.</w:t>
      </w:r>
    </w:p>
    <w:p w14:paraId="158D7818" w14:textId="77777777" w:rsidR="00723BD7" w:rsidRDefault="00000000">
      <w:pPr>
        <w:pStyle w:val="ListParagraph"/>
        <w:numPr>
          <w:ilvl w:val="0"/>
          <w:numId w:val="3"/>
        </w:numPr>
        <w:spacing w:after="80"/>
      </w:pPr>
      <w:r>
        <w:t>Route all change through the registry. Renames, splits, merges and retirements are ChangeRecords on registry entries; the canvas and the diagram are regenerated from the registry, never edited independently.</w:t>
      </w:r>
    </w:p>
    <w:p w14:paraId="6F44F307" w14:textId="77777777" w:rsidR="00723BD7" w:rsidRDefault="00000000">
      <w:pPr>
        <w:spacing w:after="160" w:line="276" w:lineRule="auto"/>
      </w:pPr>
      <w:r>
        <w:t>The single most important design decision is step 2. Everything else follows from choosing a bridge concept that both domains recognize as their own: for the canvas it is a property of an element; for the CLD it is exactly what a system variable measures.</w:t>
      </w:r>
    </w:p>
    <w:p w14:paraId="432C4A3B" w14:textId="77777777" w:rsidR="00723BD7" w:rsidRDefault="00000000">
      <w:r>
        <w:br w:type="page"/>
      </w:r>
    </w:p>
    <w:p w14:paraId="1528887C" w14:textId="77777777" w:rsidR="00723BD7" w:rsidRDefault="00000000">
      <w:pPr>
        <w:pStyle w:val="Heading1"/>
        <w:spacing w:before="320" w:after="160"/>
      </w:pPr>
      <w:bookmarkStart w:id="4" w:name="_Toc233908302"/>
      <w:r>
        <w:rPr>
          <w:b/>
          <w:bCs/>
          <w:color w:val="4D784E"/>
          <w:sz w:val="30"/>
          <w:szCs w:val="30"/>
        </w:rPr>
        <w:lastRenderedPageBreak/>
        <w:t>4. Metamodel A — The FBMC (SSBMO)</w:t>
      </w:r>
      <w:bookmarkEnd w:id="4"/>
    </w:p>
    <w:p w14:paraId="4F08C8B9" w14:textId="77777777" w:rsidR="00723BD7" w:rsidRDefault="00000000">
      <w:pPr>
        <w:spacing w:after="160" w:line="276" w:lineRule="auto"/>
      </w:pPr>
      <w:r>
        <w:t>The FBMC canvas places sixteen-plus blocks in four perspectives (Process, Value, People, Outcomes) across three nested context layers (Environment ⊃ Society ⊃ Economy). Ontologically, every block is a set of FBMCElements — things with identity, a name, a description and a zone. The key SSBMO commitments that matter for the alignment are:</w:t>
      </w:r>
    </w:p>
    <w:p w14:paraId="1F094C95" w14:textId="77777777" w:rsidR="00723BD7" w:rsidRDefault="00000000">
      <w:pPr>
        <w:pStyle w:val="ListParagraph"/>
        <w:numPr>
          <w:ilvl w:val="0"/>
          <w:numId w:val="2"/>
        </w:numPr>
        <w:spacing w:after="80"/>
      </w:pPr>
      <w:r>
        <w:t>Actors are humans, organizations or ecological entities; they exist independently of the firm and take stakeholder roles with respect to it. Non-human actors are first-class.</w:t>
      </w:r>
    </w:p>
    <w:p w14:paraId="42CBAEC5" w14:textId="77777777" w:rsidR="00723BD7" w:rsidRDefault="00000000">
      <w:pPr>
        <w:pStyle w:val="ListParagraph"/>
        <w:numPr>
          <w:ilvl w:val="0"/>
          <w:numId w:val="2"/>
        </w:numPr>
        <w:spacing w:after="80"/>
      </w:pPr>
      <w:r>
        <w:t>Value is relational: value propositions co-create value (satisfy needs) or co-destroy it (impede needs). Both valences must be modelled.</w:t>
      </w:r>
    </w:p>
    <w:p w14:paraId="1AFC8FB7" w14:textId="77777777" w:rsidR="00723BD7" w:rsidRDefault="00000000">
      <w:pPr>
        <w:pStyle w:val="ListParagraph"/>
        <w:numPr>
          <w:ilvl w:val="0"/>
          <w:numId w:val="2"/>
        </w:numPr>
        <w:spacing w:after="80"/>
      </w:pPr>
      <w:r>
        <w:t>Success is tri-profit: costs and benefits are measured in three irreducible dimensions — economic, social, environmental — against stakeholder-agreed goals with explicit indicators, units and targets.</w:t>
      </w:r>
    </w:p>
    <w:p w14:paraId="66221248" w14:textId="77777777" w:rsidR="00723BD7" w:rsidRDefault="00000000">
      <w:pPr>
        <w:pStyle w:val="ListParagraph"/>
        <w:numPr>
          <w:ilvl w:val="0"/>
          <w:numId w:val="2"/>
        </w:numPr>
        <w:spacing w:after="80"/>
      </w:pPr>
      <w:r>
        <w:t>The business depends on biophysical stocks and ecosystem services; these are part of the model, not background.</w:t>
      </w:r>
    </w:p>
    <w:p w14:paraId="442433D7" w14:textId="77777777" w:rsidR="00723BD7" w:rsidRDefault="00000000">
      <w:pPr>
        <w:spacing w:after="160" w:line="276" w:lineRule="auto"/>
      </w:pPr>
      <w:r>
        <w:t>The full class structure is on page 1 of the companion draw.io file. What the metamodel deliberately lacks is any temporal semantics: nothing in a canvas rises, falls, accumulates or delays. That is precisely the gap the CLD fills — and why a bridge is needed.</w:t>
      </w:r>
    </w:p>
    <w:p w14:paraId="3BE59739" w14:textId="77777777" w:rsidR="00723BD7" w:rsidRDefault="00000000">
      <w:pPr>
        <w:pStyle w:val="Heading1"/>
        <w:spacing w:before="320" w:after="160"/>
      </w:pPr>
      <w:bookmarkStart w:id="5" w:name="_Toc233908303"/>
      <w:r>
        <w:rPr>
          <w:b/>
          <w:bCs/>
          <w:color w:val="4D784E"/>
          <w:sz w:val="30"/>
          <w:szCs w:val="30"/>
        </w:rPr>
        <w:t>5. Metamodel B — The Causal Loop Diagram</w:t>
      </w:r>
      <w:bookmarkEnd w:id="5"/>
    </w:p>
    <w:p w14:paraId="71E7308F" w14:textId="77777777" w:rsidR="00723BD7" w:rsidRDefault="00000000">
      <w:pPr>
        <w:spacing w:after="160" w:line="276" w:lineRule="auto"/>
      </w:pPr>
      <w:r>
        <w:t>A CLD is a set of SystemVariables connected by CausalLinks, each with a polarity (+ or −, ceteris paribus) and an optional delay. Closed walks of links form FeedbackLoops. The metamodel (draw.io page 2) is Vensim-ready: every variable carries a Vensim-legal name and an sdTypeHint anticipating the stock-and-flow stage. Six well-formedness rules make a CLD valid; each rule blocks a defect class observed in practice: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700"/>
        <w:gridCol w:w="3800"/>
      </w:tblGrid>
      <w:tr w:rsidR="00723BD7" w14:paraId="2F151621" w14:textId="77777777">
        <w:tblPrEx>
          <w:tblCellMar>
            <w:top w:w="0" w:type="dxa"/>
            <w:bottom w:w="0" w:type="dxa"/>
          </w:tblCellMar>
        </w:tblPrEx>
        <w:trPr>
          <w:tblHeader/>
        </w:trPr>
        <w:tc>
          <w:tcPr>
            <w:tcW w:w="700" w:type="dxa"/>
            <w:shd w:val="clear" w:color="auto" w:fill="4D784E"/>
            <w:tcMar>
              <w:top w:w="60" w:type="dxa"/>
              <w:left w:w="80" w:type="dxa"/>
              <w:bottom w:w="60" w:type="dxa"/>
              <w:right w:w="80" w:type="dxa"/>
            </w:tcMar>
          </w:tcPr>
          <w:p w14:paraId="4D3EC965" w14:textId="77777777" w:rsidR="00723BD7" w:rsidRDefault="00000000">
            <w:r>
              <w:rPr>
                <w:b/>
                <w:bCs/>
                <w:color w:val="FFFFFF"/>
                <w:sz w:val="18"/>
                <w:szCs w:val="18"/>
              </w:rPr>
              <w:t>Rule</w:t>
            </w:r>
          </w:p>
        </w:tc>
        <w:tc>
          <w:tcPr>
            <w:tcW w:w="4700" w:type="dxa"/>
            <w:shd w:val="clear" w:color="auto" w:fill="4D784E"/>
            <w:tcMar>
              <w:top w:w="60" w:type="dxa"/>
              <w:left w:w="80" w:type="dxa"/>
              <w:bottom w:w="60" w:type="dxa"/>
              <w:right w:w="80" w:type="dxa"/>
            </w:tcMar>
          </w:tcPr>
          <w:p w14:paraId="7CC113CF" w14:textId="77777777" w:rsidR="00723BD7" w:rsidRDefault="00000000">
            <w:r>
              <w:rPr>
                <w:b/>
                <w:bCs/>
                <w:color w:val="FFFFFF"/>
                <w:sz w:val="18"/>
                <w:szCs w:val="18"/>
              </w:rPr>
              <w:t>Statement</w:t>
            </w:r>
          </w:p>
        </w:tc>
        <w:tc>
          <w:tcPr>
            <w:tcW w:w="3800" w:type="dxa"/>
            <w:shd w:val="clear" w:color="auto" w:fill="4D784E"/>
            <w:tcMar>
              <w:top w:w="60" w:type="dxa"/>
              <w:left w:w="80" w:type="dxa"/>
              <w:bottom w:w="60" w:type="dxa"/>
              <w:right w:w="80" w:type="dxa"/>
            </w:tcMar>
          </w:tcPr>
          <w:p w14:paraId="1621F087" w14:textId="77777777" w:rsidR="00723BD7" w:rsidRDefault="00000000">
            <w:r>
              <w:rPr>
                <w:b/>
                <w:bCs/>
                <w:color w:val="FFFFFF"/>
                <w:sz w:val="18"/>
                <w:szCs w:val="18"/>
              </w:rPr>
              <w:t>Defect it prevents</w:t>
            </w:r>
          </w:p>
        </w:tc>
      </w:tr>
      <w:tr w:rsidR="00723BD7" w14:paraId="349B82F4" w14:textId="77777777">
        <w:tblPrEx>
          <w:tblCellMar>
            <w:top w:w="0" w:type="dxa"/>
            <w:bottom w:w="0" w:type="dxa"/>
          </w:tblCellMar>
        </w:tblPrEx>
        <w:tc>
          <w:tcPr>
            <w:tcW w:w="700" w:type="dxa"/>
            <w:tcMar>
              <w:top w:w="60" w:type="dxa"/>
              <w:left w:w="80" w:type="dxa"/>
              <w:bottom w:w="60" w:type="dxa"/>
              <w:right w:w="80" w:type="dxa"/>
            </w:tcMar>
          </w:tcPr>
          <w:p w14:paraId="56FEB479" w14:textId="77777777" w:rsidR="00723BD7" w:rsidRDefault="00000000">
            <w:r>
              <w:rPr>
                <w:color w:val="333333"/>
                <w:sz w:val="18"/>
                <w:szCs w:val="18"/>
              </w:rPr>
              <w:t>W1</w:t>
            </w:r>
          </w:p>
        </w:tc>
        <w:tc>
          <w:tcPr>
            <w:tcW w:w="4700" w:type="dxa"/>
            <w:tcMar>
              <w:top w:w="60" w:type="dxa"/>
              <w:left w:w="80" w:type="dxa"/>
              <w:bottom w:w="60" w:type="dxa"/>
              <w:right w:w="80" w:type="dxa"/>
            </w:tcMar>
          </w:tcPr>
          <w:p w14:paraId="045E608D" w14:textId="77777777" w:rsidR="00723BD7" w:rsidRDefault="00000000">
            <w:r>
              <w:rPr>
                <w:color w:val="333333"/>
                <w:sz w:val="18"/>
                <w:szCs w:val="18"/>
              </w:rPr>
              <w:t>One concept per variable — no compound names.</w:t>
            </w:r>
          </w:p>
        </w:tc>
        <w:tc>
          <w:tcPr>
            <w:tcW w:w="3800" w:type="dxa"/>
            <w:tcMar>
              <w:top w:w="60" w:type="dxa"/>
              <w:left w:w="80" w:type="dxa"/>
              <w:bottom w:w="60" w:type="dxa"/>
              <w:right w:w="80" w:type="dxa"/>
            </w:tcMar>
          </w:tcPr>
          <w:p w14:paraId="33AAA57D" w14:textId="77777777" w:rsidR="00723BD7" w:rsidRDefault="00000000">
            <w:r>
              <w:rPr>
                <w:color w:val="333333"/>
                <w:sz w:val="18"/>
                <w:szCs w:val="18"/>
              </w:rPr>
              <w:t>“Financier confidence and ROI confidence”</w:t>
            </w:r>
          </w:p>
        </w:tc>
      </w:tr>
      <w:tr w:rsidR="00723BD7" w14:paraId="6AABA4B6" w14:textId="77777777">
        <w:tblPrEx>
          <w:tblCellMar>
            <w:top w:w="0" w:type="dxa"/>
            <w:bottom w:w="0" w:type="dxa"/>
          </w:tblCellMar>
        </w:tblPrEx>
        <w:tc>
          <w:tcPr>
            <w:tcW w:w="700" w:type="dxa"/>
            <w:tcMar>
              <w:top w:w="60" w:type="dxa"/>
              <w:left w:w="80" w:type="dxa"/>
              <w:bottom w:w="60" w:type="dxa"/>
              <w:right w:w="80" w:type="dxa"/>
            </w:tcMar>
          </w:tcPr>
          <w:p w14:paraId="4CFB9C9D" w14:textId="77777777" w:rsidR="00723BD7" w:rsidRDefault="00000000">
            <w:r>
              <w:rPr>
                <w:color w:val="333333"/>
                <w:sz w:val="18"/>
                <w:szCs w:val="18"/>
              </w:rPr>
              <w:t>W2</w:t>
            </w:r>
          </w:p>
        </w:tc>
        <w:tc>
          <w:tcPr>
            <w:tcW w:w="4700" w:type="dxa"/>
            <w:tcMar>
              <w:top w:w="60" w:type="dxa"/>
              <w:left w:w="80" w:type="dxa"/>
              <w:bottom w:w="60" w:type="dxa"/>
              <w:right w:w="80" w:type="dxa"/>
            </w:tcMar>
          </w:tcPr>
          <w:p w14:paraId="6BB401EF" w14:textId="77777777" w:rsidR="00723BD7" w:rsidRDefault="00000000">
            <w:r>
              <w:rPr>
                <w:color w:val="333333"/>
                <w:sz w:val="18"/>
                <w:szCs w:val="18"/>
              </w:rPr>
              <w:t>Direction-neutral noun phrases; direction lives in link polarity, not in names.</w:t>
            </w:r>
          </w:p>
        </w:tc>
        <w:tc>
          <w:tcPr>
            <w:tcW w:w="3800" w:type="dxa"/>
            <w:tcMar>
              <w:top w:w="60" w:type="dxa"/>
              <w:left w:w="80" w:type="dxa"/>
              <w:bottom w:w="60" w:type="dxa"/>
              <w:right w:w="80" w:type="dxa"/>
            </w:tcMar>
          </w:tcPr>
          <w:p w14:paraId="73BB11ED" w14:textId="77777777" w:rsidR="00723BD7" w:rsidRDefault="00000000">
            <w:r>
              <w:rPr>
                <w:color w:val="333333"/>
                <w:sz w:val="18"/>
                <w:szCs w:val="18"/>
              </w:rPr>
              <w:t>“Reputational gain”, “leasing cost reduction”</w:t>
            </w:r>
          </w:p>
        </w:tc>
      </w:tr>
      <w:tr w:rsidR="00723BD7" w14:paraId="7CB503C5" w14:textId="77777777">
        <w:tblPrEx>
          <w:tblCellMar>
            <w:top w:w="0" w:type="dxa"/>
            <w:bottom w:w="0" w:type="dxa"/>
          </w:tblCellMar>
        </w:tblPrEx>
        <w:tc>
          <w:tcPr>
            <w:tcW w:w="700" w:type="dxa"/>
            <w:tcMar>
              <w:top w:w="60" w:type="dxa"/>
              <w:left w:w="80" w:type="dxa"/>
              <w:bottom w:w="60" w:type="dxa"/>
              <w:right w:w="80" w:type="dxa"/>
            </w:tcMar>
          </w:tcPr>
          <w:p w14:paraId="55DABE72" w14:textId="77777777" w:rsidR="00723BD7" w:rsidRDefault="00000000">
            <w:r>
              <w:rPr>
                <w:color w:val="333333"/>
                <w:sz w:val="18"/>
                <w:szCs w:val="18"/>
              </w:rPr>
              <w:t>W3</w:t>
            </w:r>
          </w:p>
        </w:tc>
        <w:tc>
          <w:tcPr>
            <w:tcW w:w="4700" w:type="dxa"/>
            <w:tcMar>
              <w:top w:w="60" w:type="dxa"/>
              <w:left w:w="80" w:type="dxa"/>
              <w:bottom w:w="60" w:type="dxa"/>
              <w:right w:w="80" w:type="dxa"/>
            </w:tcMar>
          </w:tcPr>
          <w:p w14:paraId="43C8FD92" w14:textId="77777777" w:rsidR="00723BD7" w:rsidRDefault="00000000">
            <w:r>
              <w:rPr>
                <w:color w:val="333333"/>
                <w:sz w:val="18"/>
                <w:szCs w:val="18"/>
              </w:rPr>
              <w:t>Loop type is derived: balancing iff the loop contains an odd number of negative links.</w:t>
            </w:r>
          </w:p>
        </w:tc>
        <w:tc>
          <w:tcPr>
            <w:tcW w:w="3800" w:type="dxa"/>
            <w:tcMar>
              <w:top w:w="60" w:type="dxa"/>
              <w:left w:w="80" w:type="dxa"/>
              <w:bottom w:w="60" w:type="dxa"/>
              <w:right w:w="80" w:type="dxa"/>
            </w:tcMar>
          </w:tcPr>
          <w:p w14:paraId="10B4A1EF" w14:textId="77777777" w:rsidR="00723BD7" w:rsidRDefault="00000000">
            <w:r>
              <w:rPr>
                <w:color w:val="333333"/>
                <w:sz w:val="18"/>
                <w:szCs w:val="18"/>
              </w:rPr>
              <w:t>A balancing loop published as R7</w:t>
            </w:r>
          </w:p>
        </w:tc>
      </w:tr>
      <w:tr w:rsidR="00723BD7" w14:paraId="14C286A2" w14:textId="77777777">
        <w:tblPrEx>
          <w:tblCellMar>
            <w:top w:w="0" w:type="dxa"/>
            <w:bottom w:w="0" w:type="dxa"/>
          </w:tblCellMar>
        </w:tblPrEx>
        <w:tc>
          <w:tcPr>
            <w:tcW w:w="700" w:type="dxa"/>
            <w:tcMar>
              <w:top w:w="60" w:type="dxa"/>
              <w:left w:w="80" w:type="dxa"/>
              <w:bottom w:w="60" w:type="dxa"/>
              <w:right w:w="80" w:type="dxa"/>
            </w:tcMar>
          </w:tcPr>
          <w:p w14:paraId="475E9460" w14:textId="77777777" w:rsidR="00723BD7" w:rsidRDefault="00000000">
            <w:r>
              <w:rPr>
                <w:color w:val="333333"/>
                <w:sz w:val="18"/>
                <w:szCs w:val="18"/>
              </w:rPr>
              <w:t>W4</w:t>
            </w:r>
          </w:p>
        </w:tc>
        <w:tc>
          <w:tcPr>
            <w:tcW w:w="4700" w:type="dxa"/>
            <w:tcMar>
              <w:top w:w="60" w:type="dxa"/>
              <w:left w:w="80" w:type="dxa"/>
              <w:bottom w:w="60" w:type="dxa"/>
              <w:right w:w="80" w:type="dxa"/>
            </w:tcMar>
          </w:tcPr>
          <w:p w14:paraId="126F11CD" w14:textId="77777777" w:rsidR="00723BD7" w:rsidRDefault="00000000">
            <w:r>
              <w:rPr>
                <w:color w:val="333333"/>
                <w:sz w:val="18"/>
                <w:szCs w:val="18"/>
              </w:rPr>
              <w:t>Every variable must be quantifiable in principle (a unit can be stated).</w:t>
            </w:r>
          </w:p>
        </w:tc>
        <w:tc>
          <w:tcPr>
            <w:tcW w:w="3800" w:type="dxa"/>
            <w:tcMar>
              <w:top w:w="60" w:type="dxa"/>
              <w:left w:w="80" w:type="dxa"/>
              <w:bottom w:w="60" w:type="dxa"/>
              <w:right w:w="80" w:type="dxa"/>
            </w:tcMar>
          </w:tcPr>
          <w:p w14:paraId="4A0AA0AA" w14:textId="77777777" w:rsidR="00723BD7" w:rsidRDefault="00000000">
            <w:r>
              <w:rPr>
                <w:color w:val="333333"/>
                <w:sz w:val="18"/>
                <w:szCs w:val="18"/>
              </w:rPr>
              <w:t>“Scale effect on leasing costs”</w:t>
            </w:r>
          </w:p>
        </w:tc>
      </w:tr>
      <w:tr w:rsidR="00723BD7" w14:paraId="7ACCED54" w14:textId="77777777">
        <w:tblPrEx>
          <w:tblCellMar>
            <w:top w:w="0" w:type="dxa"/>
            <w:bottom w:w="0" w:type="dxa"/>
          </w:tblCellMar>
        </w:tblPrEx>
        <w:tc>
          <w:tcPr>
            <w:tcW w:w="700" w:type="dxa"/>
            <w:tcMar>
              <w:top w:w="60" w:type="dxa"/>
              <w:left w:w="80" w:type="dxa"/>
              <w:bottom w:w="60" w:type="dxa"/>
              <w:right w:w="80" w:type="dxa"/>
            </w:tcMar>
          </w:tcPr>
          <w:p w14:paraId="05B3A569" w14:textId="77777777" w:rsidR="00723BD7" w:rsidRDefault="00000000">
            <w:r>
              <w:rPr>
                <w:color w:val="333333"/>
                <w:sz w:val="18"/>
                <w:szCs w:val="18"/>
              </w:rPr>
              <w:t>W5</w:t>
            </w:r>
          </w:p>
        </w:tc>
        <w:tc>
          <w:tcPr>
            <w:tcW w:w="4700" w:type="dxa"/>
            <w:tcMar>
              <w:top w:w="60" w:type="dxa"/>
              <w:left w:w="80" w:type="dxa"/>
              <w:bottom w:w="60" w:type="dxa"/>
              <w:right w:w="80" w:type="dxa"/>
            </w:tcMar>
          </w:tcPr>
          <w:p w14:paraId="57DD553B" w14:textId="77777777" w:rsidR="00723BD7" w:rsidRDefault="00000000">
            <w:r>
              <w:rPr>
                <w:color w:val="333333"/>
                <w:sz w:val="18"/>
                <w:szCs w:val="18"/>
              </w:rPr>
              <w:t>Actual state and perceived state are separate variables.</w:t>
            </w:r>
          </w:p>
        </w:tc>
        <w:tc>
          <w:tcPr>
            <w:tcW w:w="3800" w:type="dxa"/>
            <w:tcMar>
              <w:top w:w="60" w:type="dxa"/>
              <w:left w:w="80" w:type="dxa"/>
              <w:bottom w:w="60" w:type="dxa"/>
              <w:right w:w="80" w:type="dxa"/>
            </w:tcMar>
          </w:tcPr>
          <w:p w14:paraId="611B9917" w14:textId="77777777" w:rsidR="00723BD7" w:rsidRDefault="00000000">
            <w:r>
              <w:rPr>
                <w:color w:val="333333"/>
                <w:sz w:val="18"/>
                <w:szCs w:val="18"/>
              </w:rPr>
              <w:t>Environmental benefit merged into reputation</w:t>
            </w:r>
          </w:p>
        </w:tc>
      </w:tr>
      <w:tr w:rsidR="00723BD7" w14:paraId="713B904B" w14:textId="77777777">
        <w:tblPrEx>
          <w:tblCellMar>
            <w:top w:w="0" w:type="dxa"/>
            <w:bottom w:w="0" w:type="dxa"/>
          </w:tblCellMar>
        </w:tblPrEx>
        <w:tc>
          <w:tcPr>
            <w:tcW w:w="700" w:type="dxa"/>
            <w:tcMar>
              <w:top w:w="60" w:type="dxa"/>
              <w:left w:w="80" w:type="dxa"/>
              <w:bottom w:w="60" w:type="dxa"/>
              <w:right w:w="80" w:type="dxa"/>
            </w:tcMar>
          </w:tcPr>
          <w:p w14:paraId="22B9B7E3" w14:textId="77777777" w:rsidR="00723BD7" w:rsidRDefault="00000000">
            <w:r>
              <w:rPr>
                <w:color w:val="333333"/>
                <w:sz w:val="18"/>
                <w:szCs w:val="18"/>
              </w:rPr>
              <w:t>W6</w:t>
            </w:r>
          </w:p>
        </w:tc>
        <w:tc>
          <w:tcPr>
            <w:tcW w:w="4700" w:type="dxa"/>
            <w:tcMar>
              <w:top w:w="60" w:type="dxa"/>
              <w:left w:w="80" w:type="dxa"/>
              <w:bottom w:w="60" w:type="dxa"/>
              <w:right w:w="80" w:type="dxa"/>
            </w:tcMar>
          </w:tcPr>
          <w:p w14:paraId="49D0496B" w14:textId="77777777" w:rsidR="00723BD7" w:rsidRDefault="00000000">
            <w:r>
              <w:rPr>
                <w:color w:val="333333"/>
                <w:sz w:val="18"/>
                <w:szCs w:val="18"/>
              </w:rPr>
              <w:t>Loop IDs are stable; merging or splitting loops requires a ChangeRecord.</w:t>
            </w:r>
          </w:p>
        </w:tc>
        <w:tc>
          <w:tcPr>
            <w:tcW w:w="3800" w:type="dxa"/>
            <w:tcMar>
              <w:top w:w="60" w:type="dxa"/>
              <w:left w:w="80" w:type="dxa"/>
              <w:bottom w:w="60" w:type="dxa"/>
              <w:right w:w="80" w:type="dxa"/>
            </w:tcMar>
          </w:tcPr>
          <w:p w14:paraId="569D726C" w14:textId="77777777" w:rsidR="00723BD7" w:rsidRDefault="00000000">
            <w:r>
              <w:rPr>
                <w:color w:val="333333"/>
                <w:sz w:val="18"/>
                <w:szCs w:val="18"/>
              </w:rPr>
              <w:t>Silent renumbering between versions</w:t>
            </w:r>
          </w:p>
        </w:tc>
      </w:tr>
    </w:tbl>
    <w:p w14:paraId="151B7F24" w14:textId="77777777" w:rsidR="00723BD7" w:rsidRDefault="00723BD7">
      <w:pPr>
        <w:spacing w:after="120"/>
      </w:pPr>
    </w:p>
    <w:p w14:paraId="5AE93F26" w14:textId="77777777" w:rsidR="00723BD7" w:rsidRDefault="00000000">
      <w:pPr>
        <w:pStyle w:val="Heading1"/>
        <w:spacing w:before="320" w:after="160"/>
      </w:pPr>
      <w:bookmarkStart w:id="6" w:name="_Toc233908304"/>
      <w:r>
        <w:rPr>
          <w:b/>
          <w:bCs/>
          <w:color w:val="4D784E"/>
          <w:sz w:val="30"/>
          <w:szCs w:val="30"/>
        </w:rPr>
        <w:t>6. The Bridge: MeasurableAttribute and the Concept Registry</w:t>
      </w:r>
      <w:bookmarkEnd w:id="6"/>
    </w:p>
    <w:p w14:paraId="4128820D" w14:textId="77777777" w:rsidR="00723BD7" w:rsidRDefault="00000000">
      <w:pPr>
        <w:spacing w:after="160" w:line="276" w:lineRule="auto"/>
      </w:pPr>
      <w:r>
        <w:t>An FBMC element never rises or falls — a measurable attribute of it does. “Financier” is an Actor; “financier confidence” is one of its attributes. “PV modules in service” is a Resource; its stock level is the attribute. The bridge class makes this explicit:</w:t>
      </w:r>
    </w:p>
    <w:p w14:paraId="4A12001E" w14:textId="77777777" w:rsidR="00723BD7" w:rsidRDefault="00000000">
      <w:pPr>
        <w:spacing w:after="160" w:line="276" w:lineRule="auto"/>
        <w:jc w:val="center"/>
      </w:pPr>
      <w:r>
        <w:lastRenderedPageBreak/>
        <w:t xml:space="preserve">FBMCElement (exactly 1)  ← is attribute of —  </w:t>
      </w:r>
      <w:r>
        <w:rPr>
          <w:b/>
          <w:bCs/>
        </w:rPr>
        <w:t>MeasurableAttribute</w:t>
      </w:r>
      <w:r>
        <w:t xml:space="preserve">  — realized as →  SystemVariable (0..1)</w:t>
      </w:r>
    </w:p>
    <w:p w14:paraId="2F9B5F1C" w14:textId="77777777" w:rsidR="00723BD7" w:rsidRDefault="00000000">
      <w:pPr>
        <w:spacing w:after="160" w:line="276" w:lineRule="auto"/>
      </w:pPr>
      <w:r>
        <w:t>Each registry entry records: a stable id (never reused), a canonical name (single concept, direction-neutral), a definition, a unit (mandatory before the SD stage), a tri-profit dimension (Econ/Soc/Eco), an sdTypeHint (Stock, Flow, Auxiliary or Parameter), an inCldBoundary flag with exclusion rationale, and a version. The set of all entries is the Concept Registry — the single source of truth from which both the canvas annotations and the CLD are generated.</w:t>
      </w:r>
    </w:p>
    <w:p w14:paraId="769C7156" w14:textId="77777777" w:rsidR="00723BD7" w:rsidRDefault="00000000">
      <w:pPr>
        <w:pStyle w:val="Heading2"/>
        <w:spacing w:before="240" w:after="120"/>
      </w:pPr>
      <w:bookmarkStart w:id="7" w:name="_Toc233908305"/>
      <w:r>
        <w:rPr>
          <w:b/>
          <w:bCs/>
          <w:color w:val="333333"/>
          <w:sz w:val="25"/>
          <w:szCs w:val="25"/>
        </w:rPr>
        <w:t>6.1 Derivation rules (type level)</w:t>
      </w:r>
      <w:bookmarkEnd w:id="7"/>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600"/>
        <w:gridCol w:w="3000"/>
      </w:tblGrid>
      <w:tr w:rsidR="00723BD7" w14:paraId="394EF2CF" w14:textId="77777777">
        <w:tblPrEx>
          <w:tblCellMar>
            <w:top w:w="0" w:type="dxa"/>
            <w:bottom w:w="0" w:type="dxa"/>
          </w:tblCellMar>
        </w:tblPrEx>
        <w:trPr>
          <w:tblHeader/>
        </w:trPr>
        <w:tc>
          <w:tcPr>
            <w:tcW w:w="3600" w:type="dxa"/>
            <w:shd w:val="clear" w:color="auto" w:fill="4D784E"/>
            <w:tcMar>
              <w:top w:w="60" w:type="dxa"/>
              <w:left w:w="80" w:type="dxa"/>
              <w:bottom w:w="60" w:type="dxa"/>
              <w:right w:w="80" w:type="dxa"/>
            </w:tcMar>
          </w:tcPr>
          <w:p w14:paraId="6AB4EAF9" w14:textId="77777777" w:rsidR="00723BD7" w:rsidRDefault="00000000">
            <w:r>
              <w:rPr>
                <w:b/>
                <w:bCs/>
                <w:color w:val="FFFFFF"/>
                <w:sz w:val="18"/>
                <w:szCs w:val="18"/>
              </w:rPr>
              <w:t>FBMC element type</w:t>
            </w:r>
          </w:p>
        </w:tc>
        <w:tc>
          <w:tcPr>
            <w:tcW w:w="2600" w:type="dxa"/>
            <w:shd w:val="clear" w:color="auto" w:fill="4D784E"/>
            <w:tcMar>
              <w:top w:w="60" w:type="dxa"/>
              <w:left w:w="80" w:type="dxa"/>
              <w:bottom w:w="60" w:type="dxa"/>
              <w:right w:w="80" w:type="dxa"/>
            </w:tcMar>
          </w:tcPr>
          <w:p w14:paraId="39A740AD" w14:textId="77777777" w:rsidR="00723BD7" w:rsidRDefault="00000000">
            <w:r>
              <w:rPr>
                <w:b/>
                <w:bCs/>
                <w:color w:val="FFFFFF"/>
                <w:sz w:val="18"/>
                <w:szCs w:val="18"/>
              </w:rPr>
              <w:t>Default system-variable type</w:t>
            </w:r>
          </w:p>
        </w:tc>
        <w:tc>
          <w:tcPr>
            <w:tcW w:w="3000" w:type="dxa"/>
            <w:shd w:val="clear" w:color="auto" w:fill="4D784E"/>
            <w:tcMar>
              <w:top w:w="60" w:type="dxa"/>
              <w:left w:w="80" w:type="dxa"/>
              <w:bottom w:w="60" w:type="dxa"/>
              <w:right w:w="80" w:type="dxa"/>
            </w:tcMar>
          </w:tcPr>
          <w:p w14:paraId="60690E1A" w14:textId="77777777" w:rsidR="00723BD7" w:rsidRDefault="00000000">
            <w:r>
              <w:rPr>
                <w:b/>
                <w:bCs/>
                <w:color w:val="FFFFFF"/>
                <w:sz w:val="18"/>
                <w:szCs w:val="18"/>
              </w:rPr>
              <w:t>Rationale</w:t>
            </w:r>
          </w:p>
        </w:tc>
      </w:tr>
      <w:tr w:rsidR="00723BD7" w14:paraId="7AAC45AD" w14:textId="77777777">
        <w:tblPrEx>
          <w:tblCellMar>
            <w:top w:w="0" w:type="dxa"/>
            <w:bottom w:w="0" w:type="dxa"/>
          </w:tblCellMar>
        </w:tblPrEx>
        <w:tc>
          <w:tcPr>
            <w:tcW w:w="3600" w:type="dxa"/>
            <w:tcMar>
              <w:top w:w="60" w:type="dxa"/>
              <w:left w:w="80" w:type="dxa"/>
              <w:bottom w:w="60" w:type="dxa"/>
              <w:right w:w="80" w:type="dxa"/>
            </w:tcMar>
          </w:tcPr>
          <w:p w14:paraId="24C5B03D" w14:textId="77777777" w:rsidR="00723BD7" w:rsidRDefault="00000000">
            <w:r>
              <w:rPr>
                <w:color w:val="333333"/>
                <w:sz w:val="18"/>
                <w:szCs w:val="18"/>
              </w:rPr>
              <w:t>Resource, Biophysical Stock, engaged Stakeholder population, Relationship (slow-changing)</w:t>
            </w:r>
          </w:p>
        </w:tc>
        <w:tc>
          <w:tcPr>
            <w:tcW w:w="2600" w:type="dxa"/>
            <w:tcMar>
              <w:top w:w="60" w:type="dxa"/>
              <w:left w:w="80" w:type="dxa"/>
              <w:bottom w:w="60" w:type="dxa"/>
              <w:right w:w="80" w:type="dxa"/>
            </w:tcMar>
          </w:tcPr>
          <w:p w14:paraId="4F06E11C" w14:textId="77777777" w:rsidR="00723BD7" w:rsidRDefault="00000000">
            <w:r>
              <w:rPr>
                <w:color w:val="333333"/>
                <w:sz w:val="18"/>
                <w:szCs w:val="18"/>
              </w:rPr>
              <w:t>Stock</w:t>
            </w:r>
          </w:p>
        </w:tc>
        <w:tc>
          <w:tcPr>
            <w:tcW w:w="3000" w:type="dxa"/>
            <w:tcMar>
              <w:top w:w="60" w:type="dxa"/>
              <w:left w:w="80" w:type="dxa"/>
              <w:bottom w:w="60" w:type="dxa"/>
              <w:right w:w="80" w:type="dxa"/>
            </w:tcMar>
          </w:tcPr>
          <w:p w14:paraId="55F6DDEA" w14:textId="77777777" w:rsidR="00723BD7" w:rsidRDefault="00000000">
            <w:r>
              <w:rPr>
                <w:color w:val="333333"/>
                <w:sz w:val="18"/>
                <w:szCs w:val="18"/>
              </w:rPr>
              <w:t>Accumulates and depletes; has memory; changes only via flows</w:t>
            </w:r>
          </w:p>
        </w:tc>
      </w:tr>
      <w:tr w:rsidR="00723BD7" w14:paraId="78EF2BAD" w14:textId="77777777">
        <w:tblPrEx>
          <w:tblCellMar>
            <w:top w:w="0" w:type="dxa"/>
            <w:bottom w:w="0" w:type="dxa"/>
          </w:tblCellMar>
        </w:tblPrEx>
        <w:tc>
          <w:tcPr>
            <w:tcW w:w="3600" w:type="dxa"/>
            <w:tcMar>
              <w:top w:w="60" w:type="dxa"/>
              <w:left w:w="80" w:type="dxa"/>
              <w:bottom w:w="60" w:type="dxa"/>
              <w:right w:w="80" w:type="dxa"/>
            </w:tcMar>
          </w:tcPr>
          <w:p w14:paraId="3DF9FEBA" w14:textId="77777777" w:rsidR="00723BD7" w:rsidRDefault="00000000">
            <w:r>
              <w:rPr>
                <w:color w:val="333333"/>
                <w:sz w:val="18"/>
                <w:szCs w:val="18"/>
              </w:rPr>
              <w:t>Activity / Process, Channel operation, Value Co-Creation, Value Co-Destruction</w:t>
            </w:r>
          </w:p>
        </w:tc>
        <w:tc>
          <w:tcPr>
            <w:tcW w:w="2600" w:type="dxa"/>
            <w:tcMar>
              <w:top w:w="60" w:type="dxa"/>
              <w:left w:w="80" w:type="dxa"/>
              <w:bottom w:w="60" w:type="dxa"/>
              <w:right w:w="80" w:type="dxa"/>
            </w:tcMar>
          </w:tcPr>
          <w:p w14:paraId="3AADE93B" w14:textId="77777777" w:rsidR="00723BD7" w:rsidRDefault="00000000">
            <w:r>
              <w:rPr>
                <w:color w:val="333333"/>
                <w:sz w:val="18"/>
                <w:szCs w:val="18"/>
              </w:rPr>
              <w:t>Flow (rate)</w:t>
            </w:r>
          </w:p>
        </w:tc>
        <w:tc>
          <w:tcPr>
            <w:tcW w:w="3000" w:type="dxa"/>
            <w:tcMar>
              <w:top w:w="60" w:type="dxa"/>
              <w:left w:w="80" w:type="dxa"/>
              <w:bottom w:w="60" w:type="dxa"/>
              <w:right w:w="80" w:type="dxa"/>
            </w:tcMar>
          </w:tcPr>
          <w:p w14:paraId="3CD95719" w14:textId="77777777" w:rsidR="00723BD7" w:rsidRDefault="00000000">
            <w:r>
              <w:rPr>
                <w:color w:val="333333"/>
                <w:sz w:val="18"/>
                <w:szCs w:val="18"/>
              </w:rPr>
              <w:t>Something happening per unit time</w:t>
            </w:r>
          </w:p>
        </w:tc>
      </w:tr>
      <w:tr w:rsidR="00723BD7" w14:paraId="53E51BC7" w14:textId="77777777">
        <w:tblPrEx>
          <w:tblCellMar>
            <w:top w:w="0" w:type="dxa"/>
            <w:bottom w:w="0" w:type="dxa"/>
          </w:tblCellMar>
        </w:tblPrEx>
        <w:tc>
          <w:tcPr>
            <w:tcW w:w="3600" w:type="dxa"/>
            <w:tcMar>
              <w:top w:w="60" w:type="dxa"/>
              <w:left w:w="80" w:type="dxa"/>
              <w:bottom w:w="60" w:type="dxa"/>
              <w:right w:w="80" w:type="dxa"/>
            </w:tcMar>
          </w:tcPr>
          <w:p w14:paraId="0A6B84A3" w14:textId="77777777" w:rsidR="00723BD7" w:rsidRDefault="00000000">
            <w:r>
              <w:rPr>
                <w:color w:val="333333"/>
                <w:sz w:val="18"/>
                <w:szCs w:val="18"/>
              </w:rPr>
              <w:t>Ecosystem Service, Need satisfaction, perceptions, Partnership strength, quality measures</w:t>
            </w:r>
          </w:p>
        </w:tc>
        <w:tc>
          <w:tcPr>
            <w:tcW w:w="2600" w:type="dxa"/>
            <w:tcMar>
              <w:top w:w="60" w:type="dxa"/>
              <w:left w:w="80" w:type="dxa"/>
              <w:bottom w:w="60" w:type="dxa"/>
              <w:right w:w="80" w:type="dxa"/>
            </w:tcMar>
          </w:tcPr>
          <w:p w14:paraId="59CC0D32" w14:textId="77777777" w:rsidR="00723BD7" w:rsidRDefault="00000000">
            <w:r>
              <w:rPr>
                <w:color w:val="333333"/>
                <w:sz w:val="18"/>
                <w:szCs w:val="18"/>
              </w:rPr>
              <w:t>Auxiliary</w:t>
            </w:r>
          </w:p>
        </w:tc>
        <w:tc>
          <w:tcPr>
            <w:tcW w:w="3000" w:type="dxa"/>
            <w:tcMar>
              <w:top w:w="60" w:type="dxa"/>
              <w:left w:w="80" w:type="dxa"/>
              <w:bottom w:w="60" w:type="dxa"/>
              <w:right w:w="80" w:type="dxa"/>
            </w:tcMar>
          </w:tcPr>
          <w:p w14:paraId="042328E9" w14:textId="77777777" w:rsidR="00723BD7" w:rsidRDefault="00000000">
            <w:r>
              <w:rPr>
                <w:color w:val="333333"/>
                <w:sz w:val="18"/>
                <w:szCs w:val="18"/>
              </w:rPr>
              <w:t>Instantaneous function of stocks and other variables</w:t>
            </w:r>
          </w:p>
        </w:tc>
      </w:tr>
      <w:tr w:rsidR="00723BD7" w14:paraId="796ACE3B" w14:textId="77777777">
        <w:tblPrEx>
          <w:tblCellMar>
            <w:top w:w="0" w:type="dxa"/>
            <w:bottom w:w="0" w:type="dxa"/>
          </w:tblCellMar>
        </w:tblPrEx>
        <w:tc>
          <w:tcPr>
            <w:tcW w:w="3600" w:type="dxa"/>
            <w:tcMar>
              <w:top w:w="60" w:type="dxa"/>
              <w:left w:w="80" w:type="dxa"/>
              <w:bottom w:w="60" w:type="dxa"/>
              <w:right w:w="80" w:type="dxa"/>
            </w:tcMar>
          </w:tcPr>
          <w:p w14:paraId="176796C9" w14:textId="77777777" w:rsidR="00723BD7" w:rsidRDefault="00000000">
            <w:r>
              <w:rPr>
                <w:color w:val="333333"/>
                <w:sz w:val="18"/>
                <w:szCs w:val="18"/>
              </w:rPr>
              <w:t>Governance choice, contract term, policy setting</w:t>
            </w:r>
          </w:p>
        </w:tc>
        <w:tc>
          <w:tcPr>
            <w:tcW w:w="2600" w:type="dxa"/>
            <w:tcMar>
              <w:top w:w="60" w:type="dxa"/>
              <w:left w:w="80" w:type="dxa"/>
              <w:bottom w:w="60" w:type="dxa"/>
              <w:right w:w="80" w:type="dxa"/>
            </w:tcMar>
          </w:tcPr>
          <w:p w14:paraId="7C10494C" w14:textId="77777777" w:rsidR="00723BD7" w:rsidRDefault="00000000">
            <w:r>
              <w:rPr>
                <w:color w:val="333333"/>
                <w:sz w:val="18"/>
                <w:szCs w:val="18"/>
              </w:rPr>
              <w:t>Parameter (or policy lever)</w:t>
            </w:r>
          </w:p>
        </w:tc>
        <w:tc>
          <w:tcPr>
            <w:tcW w:w="3000" w:type="dxa"/>
            <w:tcMar>
              <w:top w:w="60" w:type="dxa"/>
              <w:left w:w="80" w:type="dxa"/>
              <w:bottom w:w="60" w:type="dxa"/>
              <w:right w:w="80" w:type="dxa"/>
            </w:tcMar>
          </w:tcPr>
          <w:p w14:paraId="17D8F63A" w14:textId="77777777" w:rsidR="00723BD7" w:rsidRDefault="00000000">
            <w:r>
              <w:rPr>
                <w:color w:val="333333"/>
                <w:sz w:val="18"/>
                <w:szCs w:val="18"/>
              </w:rPr>
              <w:t>Set by decision, tested in scenarios</w:t>
            </w:r>
          </w:p>
        </w:tc>
      </w:tr>
      <w:tr w:rsidR="00723BD7" w14:paraId="52D38857" w14:textId="77777777">
        <w:tblPrEx>
          <w:tblCellMar>
            <w:top w:w="0" w:type="dxa"/>
            <w:bottom w:w="0" w:type="dxa"/>
          </w:tblCellMar>
        </w:tblPrEx>
        <w:tc>
          <w:tcPr>
            <w:tcW w:w="3600" w:type="dxa"/>
            <w:tcMar>
              <w:top w:w="60" w:type="dxa"/>
              <w:left w:w="80" w:type="dxa"/>
              <w:bottom w:w="60" w:type="dxa"/>
              <w:right w:w="80" w:type="dxa"/>
            </w:tcMar>
          </w:tcPr>
          <w:p w14:paraId="1176B25C" w14:textId="77777777" w:rsidR="00723BD7" w:rsidRDefault="00000000">
            <w:r>
              <w:rPr>
                <w:color w:val="333333"/>
                <w:sz w:val="18"/>
                <w:szCs w:val="18"/>
              </w:rPr>
              <w:t>Goal + Indicator</w:t>
            </w:r>
          </w:p>
        </w:tc>
        <w:tc>
          <w:tcPr>
            <w:tcW w:w="2600" w:type="dxa"/>
            <w:tcMar>
              <w:top w:w="60" w:type="dxa"/>
              <w:left w:w="80" w:type="dxa"/>
              <w:bottom w:w="60" w:type="dxa"/>
              <w:right w:w="80" w:type="dxa"/>
            </w:tcMar>
          </w:tcPr>
          <w:p w14:paraId="11A52FE4" w14:textId="77777777" w:rsidR="00723BD7" w:rsidRDefault="00000000">
            <w:r>
              <w:rPr>
                <w:color w:val="333333"/>
                <w:sz w:val="18"/>
                <w:szCs w:val="18"/>
              </w:rPr>
              <w:t>Output indicator (must appear in the model)</w:t>
            </w:r>
          </w:p>
        </w:tc>
        <w:tc>
          <w:tcPr>
            <w:tcW w:w="3000" w:type="dxa"/>
            <w:tcMar>
              <w:top w:w="60" w:type="dxa"/>
              <w:left w:w="80" w:type="dxa"/>
              <w:bottom w:w="60" w:type="dxa"/>
              <w:right w:w="80" w:type="dxa"/>
            </w:tcMar>
          </w:tcPr>
          <w:p w14:paraId="092B07B6" w14:textId="77777777" w:rsidR="00723BD7" w:rsidRDefault="00000000">
            <w:r>
              <w:rPr>
                <w:color w:val="333333"/>
                <w:sz w:val="18"/>
                <w:szCs w:val="18"/>
              </w:rPr>
              <w:t>The model must be able to report tri-profit against targets</w:t>
            </w:r>
          </w:p>
        </w:tc>
      </w:tr>
    </w:tbl>
    <w:p w14:paraId="1822466D" w14:textId="77777777" w:rsidR="00723BD7" w:rsidRDefault="00723BD7">
      <w:pPr>
        <w:spacing w:after="120"/>
      </w:pPr>
    </w:p>
    <w:p w14:paraId="75F48EBF" w14:textId="77777777" w:rsidR="00723BD7" w:rsidRDefault="00000000">
      <w:pPr>
        <w:pStyle w:val="Heading2"/>
        <w:spacing w:before="240" w:after="120"/>
      </w:pPr>
      <w:bookmarkStart w:id="8" w:name="_Toc233908306"/>
      <w:r>
        <w:rPr>
          <w:b/>
          <w:bCs/>
          <w:color w:val="333333"/>
          <w:sz w:val="25"/>
          <w:szCs w:val="25"/>
        </w:rPr>
        <w:t>6.2 Synchronization invariants</w:t>
      </w:r>
      <w:bookmarkEnd w:id="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200"/>
        <w:gridCol w:w="3400"/>
      </w:tblGrid>
      <w:tr w:rsidR="00723BD7" w14:paraId="07C8D699" w14:textId="77777777">
        <w:tblPrEx>
          <w:tblCellMar>
            <w:top w:w="0" w:type="dxa"/>
            <w:bottom w:w="0" w:type="dxa"/>
          </w:tblCellMar>
        </w:tblPrEx>
        <w:trPr>
          <w:tblHeader/>
        </w:trPr>
        <w:tc>
          <w:tcPr>
            <w:tcW w:w="600" w:type="dxa"/>
            <w:shd w:val="clear" w:color="auto" w:fill="4D784E"/>
            <w:tcMar>
              <w:top w:w="60" w:type="dxa"/>
              <w:left w:w="80" w:type="dxa"/>
              <w:bottom w:w="60" w:type="dxa"/>
              <w:right w:w="80" w:type="dxa"/>
            </w:tcMar>
          </w:tcPr>
          <w:p w14:paraId="42153CB5" w14:textId="77777777" w:rsidR="00723BD7" w:rsidRDefault="00000000">
            <w:r>
              <w:rPr>
                <w:b/>
                <w:bCs/>
                <w:color w:val="FFFFFF"/>
                <w:sz w:val="18"/>
                <w:szCs w:val="18"/>
              </w:rPr>
              <w:t>#</w:t>
            </w:r>
          </w:p>
        </w:tc>
        <w:tc>
          <w:tcPr>
            <w:tcW w:w="5200" w:type="dxa"/>
            <w:shd w:val="clear" w:color="auto" w:fill="4D784E"/>
            <w:tcMar>
              <w:top w:w="60" w:type="dxa"/>
              <w:left w:w="80" w:type="dxa"/>
              <w:bottom w:w="60" w:type="dxa"/>
              <w:right w:w="80" w:type="dxa"/>
            </w:tcMar>
          </w:tcPr>
          <w:p w14:paraId="43C6C764" w14:textId="77777777" w:rsidR="00723BD7" w:rsidRDefault="00000000">
            <w:r>
              <w:rPr>
                <w:b/>
                <w:bCs/>
                <w:color w:val="FFFFFF"/>
                <w:sz w:val="18"/>
                <w:szCs w:val="18"/>
              </w:rPr>
              <w:t>Invariant</w:t>
            </w:r>
          </w:p>
        </w:tc>
        <w:tc>
          <w:tcPr>
            <w:tcW w:w="3400" w:type="dxa"/>
            <w:shd w:val="clear" w:color="auto" w:fill="4D784E"/>
            <w:tcMar>
              <w:top w:w="60" w:type="dxa"/>
              <w:left w:w="80" w:type="dxa"/>
              <w:bottom w:w="60" w:type="dxa"/>
              <w:right w:w="80" w:type="dxa"/>
            </w:tcMar>
          </w:tcPr>
          <w:p w14:paraId="3BDC26CA" w14:textId="77777777" w:rsidR="00723BD7" w:rsidRDefault="00000000">
            <w:r>
              <w:rPr>
                <w:b/>
                <w:bCs/>
                <w:color w:val="FFFFFF"/>
                <w:sz w:val="18"/>
                <w:szCs w:val="18"/>
              </w:rPr>
              <w:t>Guarantees</w:t>
            </w:r>
          </w:p>
        </w:tc>
      </w:tr>
      <w:tr w:rsidR="00723BD7" w14:paraId="1CB1D7CC" w14:textId="77777777">
        <w:tblPrEx>
          <w:tblCellMar>
            <w:top w:w="0" w:type="dxa"/>
            <w:bottom w:w="0" w:type="dxa"/>
          </w:tblCellMar>
        </w:tblPrEx>
        <w:tc>
          <w:tcPr>
            <w:tcW w:w="600" w:type="dxa"/>
            <w:tcMar>
              <w:top w:w="60" w:type="dxa"/>
              <w:left w:w="80" w:type="dxa"/>
              <w:bottom w:w="60" w:type="dxa"/>
              <w:right w:w="80" w:type="dxa"/>
            </w:tcMar>
          </w:tcPr>
          <w:p w14:paraId="3EDD5C70" w14:textId="77777777" w:rsidR="00723BD7" w:rsidRDefault="00000000">
            <w:r>
              <w:rPr>
                <w:color w:val="333333"/>
                <w:sz w:val="18"/>
                <w:szCs w:val="18"/>
              </w:rPr>
              <w:t>I1</w:t>
            </w:r>
          </w:p>
        </w:tc>
        <w:tc>
          <w:tcPr>
            <w:tcW w:w="5200" w:type="dxa"/>
            <w:tcMar>
              <w:top w:w="60" w:type="dxa"/>
              <w:left w:w="80" w:type="dxa"/>
              <w:bottom w:w="60" w:type="dxa"/>
              <w:right w:w="80" w:type="dxa"/>
            </w:tcMar>
          </w:tcPr>
          <w:p w14:paraId="4D2FF8A6" w14:textId="77777777" w:rsidR="00723BD7" w:rsidRDefault="00000000">
            <w:r>
              <w:rPr>
                <w:color w:val="333333"/>
                <w:sz w:val="18"/>
                <w:szCs w:val="18"/>
              </w:rPr>
              <w:t>Every SystemVariable realizes exactly one MeasurableAttribute; every attribute anchors to exactly one FBMCElement.</w:t>
            </w:r>
          </w:p>
        </w:tc>
        <w:tc>
          <w:tcPr>
            <w:tcW w:w="3400" w:type="dxa"/>
            <w:tcMar>
              <w:top w:w="60" w:type="dxa"/>
              <w:left w:w="80" w:type="dxa"/>
              <w:bottom w:w="60" w:type="dxa"/>
              <w:right w:w="80" w:type="dxa"/>
            </w:tcMar>
          </w:tcPr>
          <w:p w14:paraId="4462C87A" w14:textId="77777777" w:rsidR="00723BD7" w:rsidRDefault="00000000">
            <w:r>
              <w:rPr>
                <w:color w:val="333333"/>
                <w:sz w:val="18"/>
                <w:szCs w:val="18"/>
              </w:rPr>
              <w:t>Full trace: CLD variable → attribute → canvas element</w:t>
            </w:r>
          </w:p>
        </w:tc>
      </w:tr>
      <w:tr w:rsidR="00723BD7" w14:paraId="7DCCD632" w14:textId="77777777">
        <w:tblPrEx>
          <w:tblCellMar>
            <w:top w:w="0" w:type="dxa"/>
            <w:bottom w:w="0" w:type="dxa"/>
          </w:tblCellMar>
        </w:tblPrEx>
        <w:tc>
          <w:tcPr>
            <w:tcW w:w="600" w:type="dxa"/>
            <w:tcMar>
              <w:top w:w="60" w:type="dxa"/>
              <w:left w:w="80" w:type="dxa"/>
              <w:bottom w:w="60" w:type="dxa"/>
              <w:right w:w="80" w:type="dxa"/>
            </w:tcMar>
          </w:tcPr>
          <w:p w14:paraId="6DB08107" w14:textId="77777777" w:rsidR="00723BD7" w:rsidRDefault="00000000">
            <w:r>
              <w:rPr>
                <w:color w:val="333333"/>
                <w:sz w:val="18"/>
                <w:szCs w:val="18"/>
              </w:rPr>
              <w:t>I2</w:t>
            </w:r>
          </w:p>
        </w:tc>
        <w:tc>
          <w:tcPr>
            <w:tcW w:w="5200" w:type="dxa"/>
            <w:tcMar>
              <w:top w:w="60" w:type="dxa"/>
              <w:left w:w="80" w:type="dxa"/>
              <w:bottom w:w="60" w:type="dxa"/>
              <w:right w:w="80" w:type="dxa"/>
            </w:tcMar>
          </w:tcPr>
          <w:p w14:paraId="2752D42B" w14:textId="77777777" w:rsidR="00723BD7" w:rsidRDefault="00000000">
            <w:r>
              <w:rPr>
                <w:color w:val="333333"/>
                <w:sz w:val="18"/>
                <w:szCs w:val="18"/>
              </w:rPr>
              <w:t>Every FBMC element has at least one attribute in the CLD, or an explicit out-of-boundary rationale.</w:t>
            </w:r>
          </w:p>
        </w:tc>
        <w:tc>
          <w:tcPr>
            <w:tcW w:w="3400" w:type="dxa"/>
            <w:tcMar>
              <w:top w:w="60" w:type="dxa"/>
              <w:left w:w="80" w:type="dxa"/>
              <w:bottom w:w="60" w:type="dxa"/>
              <w:right w:w="80" w:type="dxa"/>
            </w:tcMar>
          </w:tcPr>
          <w:p w14:paraId="2FA23B61" w14:textId="77777777" w:rsidR="00723BD7" w:rsidRDefault="00000000">
            <w:r>
              <w:rPr>
                <w:color w:val="333333"/>
                <w:sz w:val="18"/>
                <w:szCs w:val="18"/>
              </w:rPr>
              <w:t>Coverage; formalizes the SSBMO boundary concept</w:t>
            </w:r>
          </w:p>
        </w:tc>
      </w:tr>
      <w:tr w:rsidR="00723BD7" w14:paraId="44668C36" w14:textId="77777777">
        <w:tblPrEx>
          <w:tblCellMar>
            <w:top w:w="0" w:type="dxa"/>
            <w:bottom w:w="0" w:type="dxa"/>
          </w:tblCellMar>
        </w:tblPrEx>
        <w:tc>
          <w:tcPr>
            <w:tcW w:w="600" w:type="dxa"/>
            <w:tcMar>
              <w:top w:w="60" w:type="dxa"/>
              <w:left w:w="80" w:type="dxa"/>
              <w:bottom w:w="60" w:type="dxa"/>
              <w:right w:w="80" w:type="dxa"/>
            </w:tcMar>
          </w:tcPr>
          <w:p w14:paraId="364233D3" w14:textId="77777777" w:rsidR="00723BD7" w:rsidRDefault="00000000">
            <w:r>
              <w:rPr>
                <w:color w:val="333333"/>
                <w:sz w:val="18"/>
                <w:szCs w:val="18"/>
              </w:rPr>
              <w:t>I3</w:t>
            </w:r>
          </w:p>
        </w:tc>
        <w:tc>
          <w:tcPr>
            <w:tcW w:w="5200" w:type="dxa"/>
            <w:tcMar>
              <w:top w:w="60" w:type="dxa"/>
              <w:left w:w="80" w:type="dxa"/>
              <w:bottom w:w="60" w:type="dxa"/>
              <w:right w:w="80" w:type="dxa"/>
            </w:tcMar>
          </w:tcPr>
          <w:p w14:paraId="24CB02A4" w14:textId="77777777" w:rsidR="00723BD7" w:rsidRDefault="00000000">
            <w:r>
              <w:rPr>
                <w:color w:val="333333"/>
                <w:sz w:val="18"/>
                <w:szCs w:val="18"/>
              </w:rPr>
              <w:t>Loop type is derived from link polarities, never asserted.</w:t>
            </w:r>
          </w:p>
        </w:tc>
        <w:tc>
          <w:tcPr>
            <w:tcW w:w="3400" w:type="dxa"/>
            <w:tcMar>
              <w:top w:w="60" w:type="dxa"/>
              <w:left w:w="80" w:type="dxa"/>
              <w:bottom w:w="60" w:type="dxa"/>
              <w:right w:w="80" w:type="dxa"/>
            </w:tcMar>
          </w:tcPr>
          <w:p w14:paraId="1B311104" w14:textId="77777777" w:rsidR="00723BD7" w:rsidRDefault="00000000">
            <w:r>
              <w:rPr>
                <w:color w:val="333333"/>
                <w:sz w:val="18"/>
                <w:szCs w:val="18"/>
              </w:rPr>
              <w:t>No misclassified loops</w:t>
            </w:r>
          </w:p>
        </w:tc>
      </w:tr>
      <w:tr w:rsidR="00723BD7" w14:paraId="0919E20B" w14:textId="77777777">
        <w:tblPrEx>
          <w:tblCellMar>
            <w:top w:w="0" w:type="dxa"/>
            <w:bottom w:w="0" w:type="dxa"/>
          </w:tblCellMar>
        </w:tblPrEx>
        <w:tc>
          <w:tcPr>
            <w:tcW w:w="600" w:type="dxa"/>
            <w:tcMar>
              <w:top w:w="60" w:type="dxa"/>
              <w:left w:w="80" w:type="dxa"/>
              <w:bottom w:w="60" w:type="dxa"/>
              <w:right w:w="80" w:type="dxa"/>
            </w:tcMar>
          </w:tcPr>
          <w:p w14:paraId="2D1DD194" w14:textId="77777777" w:rsidR="00723BD7" w:rsidRDefault="00000000">
            <w:r>
              <w:rPr>
                <w:color w:val="333333"/>
                <w:sz w:val="18"/>
                <w:szCs w:val="18"/>
              </w:rPr>
              <w:t>I4</w:t>
            </w:r>
          </w:p>
        </w:tc>
        <w:tc>
          <w:tcPr>
            <w:tcW w:w="5200" w:type="dxa"/>
            <w:tcMar>
              <w:top w:w="60" w:type="dxa"/>
              <w:left w:w="80" w:type="dxa"/>
              <w:bottom w:w="60" w:type="dxa"/>
              <w:right w:w="80" w:type="dxa"/>
            </w:tcMar>
          </w:tcPr>
          <w:p w14:paraId="6BFDEC0F" w14:textId="77777777" w:rsidR="00723BD7" w:rsidRDefault="00000000">
            <w:r>
              <w:rPr>
                <w:color w:val="333333"/>
                <w:sz w:val="18"/>
                <w:szCs w:val="18"/>
              </w:rPr>
              <w:t>Names are single-concept and direction-neutral (W1/W2).</w:t>
            </w:r>
          </w:p>
        </w:tc>
        <w:tc>
          <w:tcPr>
            <w:tcW w:w="3400" w:type="dxa"/>
            <w:tcMar>
              <w:top w:w="60" w:type="dxa"/>
              <w:left w:w="80" w:type="dxa"/>
              <w:bottom w:w="60" w:type="dxa"/>
              <w:right w:w="80" w:type="dxa"/>
            </w:tcMar>
          </w:tcPr>
          <w:p w14:paraId="0755FEBA" w14:textId="77777777" w:rsidR="00723BD7" w:rsidRDefault="00000000">
            <w:r>
              <w:rPr>
                <w:color w:val="333333"/>
                <w:sz w:val="18"/>
                <w:szCs w:val="18"/>
              </w:rPr>
              <w:t>SD-translatable variables</w:t>
            </w:r>
          </w:p>
        </w:tc>
      </w:tr>
      <w:tr w:rsidR="00723BD7" w14:paraId="57A749C6" w14:textId="77777777">
        <w:tblPrEx>
          <w:tblCellMar>
            <w:top w:w="0" w:type="dxa"/>
            <w:bottom w:w="0" w:type="dxa"/>
          </w:tblCellMar>
        </w:tblPrEx>
        <w:tc>
          <w:tcPr>
            <w:tcW w:w="600" w:type="dxa"/>
            <w:tcMar>
              <w:top w:w="60" w:type="dxa"/>
              <w:left w:w="80" w:type="dxa"/>
              <w:bottom w:w="60" w:type="dxa"/>
              <w:right w:w="80" w:type="dxa"/>
            </w:tcMar>
          </w:tcPr>
          <w:p w14:paraId="41016383" w14:textId="77777777" w:rsidR="00723BD7" w:rsidRDefault="00000000">
            <w:r>
              <w:rPr>
                <w:color w:val="333333"/>
                <w:sz w:val="18"/>
                <w:szCs w:val="18"/>
              </w:rPr>
              <w:t>I5</w:t>
            </w:r>
          </w:p>
        </w:tc>
        <w:tc>
          <w:tcPr>
            <w:tcW w:w="5200" w:type="dxa"/>
            <w:tcMar>
              <w:top w:w="60" w:type="dxa"/>
              <w:left w:w="80" w:type="dxa"/>
              <w:bottom w:w="60" w:type="dxa"/>
              <w:right w:w="80" w:type="dxa"/>
            </w:tcMar>
          </w:tcPr>
          <w:p w14:paraId="6D53762C" w14:textId="77777777" w:rsidR="00723BD7" w:rsidRDefault="00000000">
            <w:r>
              <w:rPr>
                <w:color w:val="333333"/>
                <w:sz w:val="18"/>
                <w:szCs w:val="18"/>
              </w:rPr>
              <w:t>Actual and perceived states are distinct attributes.</w:t>
            </w:r>
          </w:p>
        </w:tc>
        <w:tc>
          <w:tcPr>
            <w:tcW w:w="3400" w:type="dxa"/>
            <w:tcMar>
              <w:top w:w="60" w:type="dxa"/>
              <w:left w:w="80" w:type="dxa"/>
              <w:bottom w:w="60" w:type="dxa"/>
              <w:right w:w="80" w:type="dxa"/>
            </w:tcMar>
          </w:tcPr>
          <w:p w14:paraId="35E9712B" w14:textId="77777777" w:rsidR="00723BD7" w:rsidRDefault="00000000">
            <w:r>
              <w:rPr>
                <w:color w:val="333333"/>
                <w:sz w:val="18"/>
                <w:szCs w:val="18"/>
              </w:rPr>
              <w:t>Biophysical reality ≠ stakeholder perception</w:t>
            </w:r>
          </w:p>
        </w:tc>
      </w:tr>
      <w:tr w:rsidR="00723BD7" w14:paraId="4B261CB6" w14:textId="77777777">
        <w:tblPrEx>
          <w:tblCellMar>
            <w:top w:w="0" w:type="dxa"/>
            <w:bottom w:w="0" w:type="dxa"/>
          </w:tblCellMar>
        </w:tblPrEx>
        <w:tc>
          <w:tcPr>
            <w:tcW w:w="600" w:type="dxa"/>
            <w:tcMar>
              <w:top w:w="60" w:type="dxa"/>
              <w:left w:w="80" w:type="dxa"/>
              <w:bottom w:w="60" w:type="dxa"/>
              <w:right w:w="80" w:type="dxa"/>
            </w:tcMar>
          </w:tcPr>
          <w:p w14:paraId="47C611E3" w14:textId="77777777" w:rsidR="00723BD7" w:rsidRDefault="00000000">
            <w:r>
              <w:rPr>
                <w:color w:val="333333"/>
                <w:sz w:val="18"/>
                <w:szCs w:val="18"/>
              </w:rPr>
              <w:t>I6</w:t>
            </w:r>
          </w:p>
        </w:tc>
        <w:tc>
          <w:tcPr>
            <w:tcW w:w="5200" w:type="dxa"/>
            <w:tcMar>
              <w:top w:w="60" w:type="dxa"/>
              <w:left w:w="80" w:type="dxa"/>
              <w:bottom w:w="60" w:type="dxa"/>
              <w:right w:w="80" w:type="dxa"/>
            </w:tcMar>
          </w:tcPr>
          <w:p w14:paraId="14A90CF5" w14:textId="77777777" w:rsidR="00723BD7" w:rsidRDefault="00000000">
            <w:r>
              <w:rPr>
                <w:color w:val="333333"/>
                <w:sz w:val="18"/>
                <w:szCs w:val="18"/>
              </w:rPr>
              <w:t>Every Goal/Indicator maps to an attribute present in the CLD.</w:t>
            </w:r>
          </w:p>
        </w:tc>
        <w:tc>
          <w:tcPr>
            <w:tcW w:w="3400" w:type="dxa"/>
            <w:tcMar>
              <w:top w:w="60" w:type="dxa"/>
              <w:left w:w="80" w:type="dxa"/>
              <w:bottom w:w="60" w:type="dxa"/>
              <w:right w:w="80" w:type="dxa"/>
            </w:tcMar>
          </w:tcPr>
          <w:p w14:paraId="3462BE2A" w14:textId="77777777" w:rsidR="00723BD7" w:rsidRDefault="00000000">
            <w:r>
              <w:rPr>
                <w:color w:val="333333"/>
                <w:sz w:val="18"/>
                <w:szCs w:val="18"/>
              </w:rPr>
              <w:t>The model can report tri-profit</w:t>
            </w:r>
          </w:p>
        </w:tc>
      </w:tr>
      <w:tr w:rsidR="00723BD7" w14:paraId="24D30643" w14:textId="77777777">
        <w:tblPrEx>
          <w:tblCellMar>
            <w:top w:w="0" w:type="dxa"/>
            <w:bottom w:w="0" w:type="dxa"/>
          </w:tblCellMar>
        </w:tblPrEx>
        <w:tc>
          <w:tcPr>
            <w:tcW w:w="600" w:type="dxa"/>
            <w:tcMar>
              <w:top w:w="60" w:type="dxa"/>
              <w:left w:w="80" w:type="dxa"/>
              <w:bottom w:w="60" w:type="dxa"/>
              <w:right w:w="80" w:type="dxa"/>
            </w:tcMar>
          </w:tcPr>
          <w:p w14:paraId="10284896" w14:textId="77777777" w:rsidR="00723BD7" w:rsidRDefault="00000000">
            <w:r>
              <w:rPr>
                <w:color w:val="333333"/>
                <w:sz w:val="18"/>
                <w:szCs w:val="18"/>
              </w:rPr>
              <w:t>I7</w:t>
            </w:r>
          </w:p>
        </w:tc>
        <w:tc>
          <w:tcPr>
            <w:tcW w:w="5200" w:type="dxa"/>
            <w:tcMar>
              <w:top w:w="60" w:type="dxa"/>
              <w:left w:w="80" w:type="dxa"/>
              <w:bottom w:w="60" w:type="dxa"/>
              <w:right w:w="80" w:type="dxa"/>
            </w:tcMar>
          </w:tcPr>
          <w:p w14:paraId="74756D7E" w14:textId="77777777" w:rsidR="00723BD7" w:rsidRDefault="00000000">
            <w:r>
              <w:rPr>
                <w:color w:val="333333"/>
                <w:sz w:val="18"/>
                <w:szCs w:val="18"/>
              </w:rPr>
              <w:t>All renames/splits/merges happen via ChangeRecords; artifacts are regenerated, never edited independently.</w:t>
            </w:r>
          </w:p>
        </w:tc>
        <w:tc>
          <w:tcPr>
            <w:tcW w:w="3400" w:type="dxa"/>
            <w:tcMar>
              <w:top w:w="60" w:type="dxa"/>
              <w:left w:w="80" w:type="dxa"/>
              <w:bottom w:w="60" w:type="dxa"/>
              <w:right w:w="80" w:type="dxa"/>
            </w:tcMar>
          </w:tcPr>
          <w:p w14:paraId="57F67428" w14:textId="77777777" w:rsidR="00723BD7" w:rsidRDefault="00000000">
            <w:r>
              <w:rPr>
                <w:color w:val="333333"/>
                <w:sz w:val="18"/>
                <w:szCs w:val="18"/>
              </w:rPr>
              <w:t>No silent vocabulary drift between versions</w:t>
            </w:r>
          </w:p>
        </w:tc>
      </w:tr>
    </w:tbl>
    <w:p w14:paraId="4EA4091D" w14:textId="77777777" w:rsidR="00723BD7" w:rsidRDefault="00723BD7">
      <w:pPr>
        <w:spacing w:after="120"/>
      </w:pPr>
    </w:p>
    <w:p w14:paraId="05FE7009" w14:textId="77777777" w:rsidR="00723BD7" w:rsidRDefault="00000000">
      <w:r>
        <w:br w:type="page"/>
      </w:r>
    </w:p>
    <w:p w14:paraId="0D1CBC39" w14:textId="77777777" w:rsidR="00723BD7" w:rsidRDefault="00000000">
      <w:pPr>
        <w:pStyle w:val="Heading1"/>
        <w:spacing w:before="320" w:after="160"/>
      </w:pPr>
      <w:bookmarkStart w:id="9" w:name="_Toc233908307"/>
      <w:r>
        <w:rPr>
          <w:b/>
          <w:bCs/>
          <w:color w:val="4D784E"/>
          <w:sz w:val="30"/>
          <w:szCs w:val="30"/>
        </w:rPr>
        <w:lastRenderedPageBreak/>
        <w:t>7. The Complete FBMC → CLD Mapping</w:t>
      </w:r>
      <w:bookmarkEnd w:id="9"/>
    </w:p>
    <w:p w14:paraId="226D9DF7" w14:textId="77777777" w:rsidR="00723BD7" w:rsidRDefault="00000000">
      <w:pPr>
        <w:spacing w:after="160" w:line="276" w:lineRule="auto"/>
      </w:pPr>
      <w:r>
        <w:t>The table below covers every block of the FBMC and states, generically and without any use case, which measurable attribute(s) each block contributes and how they appear as CLD variables. This is the instantiation template: applying the method to a concrete business means renaming these generic variables — never inventing unanchored ones and never leaving a block silently unmapped.</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8"/>
        <w:gridCol w:w="2645"/>
        <w:gridCol w:w="2296"/>
        <w:gridCol w:w="1213"/>
        <w:gridCol w:w="1998"/>
      </w:tblGrid>
      <w:tr w:rsidR="00723BD7" w14:paraId="349CDF9D" w14:textId="77777777">
        <w:tblPrEx>
          <w:tblCellMar>
            <w:top w:w="0" w:type="dxa"/>
            <w:bottom w:w="0" w:type="dxa"/>
          </w:tblCellMar>
        </w:tblPrEx>
        <w:trPr>
          <w:tblHeader/>
        </w:trPr>
        <w:tc>
          <w:tcPr>
            <w:tcW w:w="1650" w:type="dxa"/>
            <w:shd w:val="clear" w:color="auto" w:fill="4D784E"/>
            <w:tcMar>
              <w:top w:w="60" w:type="dxa"/>
              <w:left w:w="80" w:type="dxa"/>
              <w:bottom w:w="60" w:type="dxa"/>
              <w:right w:w="80" w:type="dxa"/>
            </w:tcMar>
          </w:tcPr>
          <w:p w14:paraId="6251DC9A" w14:textId="77777777" w:rsidR="00723BD7" w:rsidRDefault="00000000">
            <w:r>
              <w:rPr>
                <w:b/>
                <w:bCs/>
                <w:color w:val="FFFFFF"/>
                <w:sz w:val="18"/>
                <w:szCs w:val="18"/>
              </w:rPr>
              <w:t>FBMC block</w:t>
            </w:r>
          </w:p>
        </w:tc>
        <w:tc>
          <w:tcPr>
            <w:tcW w:w="2650" w:type="dxa"/>
            <w:shd w:val="clear" w:color="auto" w:fill="4D784E"/>
            <w:tcMar>
              <w:top w:w="60" w:type="dxa"/>
              <w:left w:w="80" w:type="dxa"/>
              <w:bottom w:w="60" w:type="dxa"/>
              <w:right w:w="80" w:type="dxa"/>
            </w:tcMar>
          </w:tcPr>
          <w:p w14:paraId="7988F1E8" w14:textId="77777777" w:rsidR="00723BD7" w:rsidRDefault="00000000">
            <w:r>
              <w:rPr>
                <w:b/>
                <w:bCs/>
                <w:color w:val="FFFFFF"/>
                <w:sz w:val="18"/>
                <w:szCs w:val="18"/>
              </w:rPr>
              <w:t>Ontological meaning (SSBMO)</w:t>
            </w:r>
          </w:p>
        </w:tc>
        <w:tc>
          <w:tcPr>
            <w:tcW w:w="2300" w:type="dxa"/>
            <w:shd w:val="clear" w:color="auto" w:fill="4D784E"/>
            <w:tcMar>
              <w:top w:w="60" w:type="dxa"/>
              <w:left w:w="80" w:type="dxa"/>
              <w:bottom w:w="60" w:type="dxa"/>
              <w:right w:w="80" w:type="dxa"/>
            </w:tcMar>
          </w:tcPr>
          <w:p w14:paraId="15B55C0D" w14:textId="77777777" w:rsidR="00723BD7" w:rsidRDefault="00000000">
            <w:r>
              <w:rPr>
                <w:b/>
                <w:bCs/>
                <w:color w:val="FFFFFF"/>
                <w:sz w:val="18"/>
                <w:szCs w:val="18"/>
              </w:rPr>
              <w:t>Generic measurable attribute(s)</w:t>
            </w:r>
          </w:p>
        </w:tc>
        <w:tc>
          <w:tcPr>
            <w:tcW w:w="1200" w:type="dxa"/>
            <w:shd w:val="clear" w:color="auto" w:fill="4D784E"/>
            <w:tcMar>
              <w:top w:w="60" w:type="dxa"/>
              <w:left w:w="80" w:type="dxa"/>
              <w:bottom w:w="60" w:type="dxa"/>
              <w:right w:w="80" w:type="dxa"/>
            </w:tcMar>
          </w:tcPr>
          <w:p w14:paraId="6999217B" w14:textId="77777777" w:rsidR="00723BD7" w:rsidRDefault="00000000">
            <w:commentRangeStart w:id="10"/>
            <w:r>
              <w:rPr>
                <w:b/>
                <w:bCs/>
                <w:color w:val="FFFFFF"/>
                <w:sz w:val="18"/>
                <w:szCs w:val="18"/>
              </w:rPr>
              <w:t>SD type</w:t>
            </w:r>
            <w:commentRangeEnd w:id="10"/>
            <w:r w:rsidR="00354F8A">
              <w:rPr>
                <w:rStyle w:val="CommentReference"/>
                <w:sz w:val="22"/>
                <w:szCs w:val="22"/>
              </w:rPr>
              <w:commentReference w:id="10"/>
            </w:r>
          </w:p>
        </w:tc>
        <w:tc>
          <w:tcPr>
            <w:tcW w:w="2000" w:type="dxa"/>
            <w:shd w:val="clear" w:color="auto" w:fill="4D784E"/>
            <w:tcMar>
              <w:top w:w="60" w:type="dxa"/>
              <w:left w:w="80" w:type="dxa"/>
              <w:bottom w:w="60" w:type="dxa"/>
              <w:right w:w="80" w:type="dxa"/>
            </w:tcMar>
          </w:tcPr>
          <w:p w14:paraId="32A665D1" w14:textId="77777777" w:rsidR="00723BD7" w:rsidRDefault="00000000">
            <w:r>
              <w:rPr>
                <w:b/>
                <w:bCs/>
                <w:color w:val="FFFFFF"/>
                <w:sz w:val="18"/>
                <w:szCs w:val="18"/>
              </w:rPr>
              <w:t>Generic CLD variable</w:t>
            </w:r>
          </w:p>
        </w:tc>
      </w:tr>
      <w:tr w:rsidR="00723BD7" w14:paraId="5181A687" w14:textId="77777777">
        <w:tblPrEx>
          <w:tblCellMar>
            <w:top w:w="0" w:type="dxa"/>
            <w:bottom w:w="0" w:type="dxa"/>
          </w:tblCellMar>
        </w:tblPrEx>
        <w:tc>
          <w:tcPr>
            <w:tcW w:w="1650" w:type="dxa"/>
            <w:tcMar>
              <w:top w:w="60" w:type="dxa"/>
              <w:left w:w="80" w:type="dxa"/>
              <w:bottom w:w="60" w:type="dxa"/>
              <w:right w:w="80" w:type="dxa"/>
            </w:tcMar>
          </w:tcPr>
          <w:p w14:paraId="013B57F7" w14:textId="77777777" w:rsidR="00723BD7" w:rsidRDefault="00000000">
            <w:r>
              <w:rPr>
                <w:color w:val="333333"/>
                <w:sz w:val="18"/>
                <w:szCs w:val="18"/>
              </w:rPr>
              <w:t>Actors (Who)</w:t>
            </w:r>
          </w:p>
        </w:tc>
        <w:tc>
          <w:tcPr>
            <w:tcW w:w="2650" w:type="dxa"/>
            <w:tcMar>
              <w:top w:w="60" w:type="dxa"/>
              <w:left w:w="80" w:type="dxa"/>
              <w:bottom w:w="60" w:type="dxa"/>
              <w:right w:w="80" w:type="dxa"/>
            </w:tcMar>
          </w:tcPr>
          <w:p w14:paraId="5CAA4E9C" w14:textId="77777777" w:rsidR="00723BD7" w:rsidRDefault="00000000">
            <w:r>
              <w:rPr>
                <w:color w:val="333333"/>
                <w:sz w:val="18"/>
                <w:szCs w:val="18"/>
              </w:rPr>
              <w:t>Humans, organizations, ecological entities existing independently of the firm</w:t>
            </w:r>
          </w:p>
        </w:tc>
        <w:tc>
          <w:tcPr>
            <w:tcW w:w="2300" w:type="dxa"/>
            <w:tcMar>
              <w:top w:w="60" w:type="dxa"/>
              <w:left w:w="80" w:type="dxa"/>
              <w:bottom w:w="60" w:type="dxa"/>
              <w:right w:w="80" w:type="dxa"/>
            </w:tcMar>
          </w:tcPr>
          <w:p w14:paraId="0C969323" w14:textId="77777777" w:rsidR="00723BD7" w:rsidRDefault="00000000">
            <w:r>
              <w:rPr>
                <w:color w:val="333333"/>
                <w:sz w:val="18"/>
                <w:szCs w:val="18"/>
              </w:rPr>
              <w:t>Size of addressable population; actor wellbeing</w:t>
            </w:r>
          </w:p>
        </w:tc>
        <w:tc>
          <w:tcPr>
            <w:tcW w:w="1200" w:type="dxa"/>
            <w:tcMar>
              <w:top w:w="60" w:type="dxa"/>
              <w:left w:w="80" w:type="dxa"/>
              <w:bottom w:w="60" w:type="dxa"/>
              <w:right w:w="80" w:type="dxa"/>
            </w:tcMar>
          </w:tcPr>
          <w:p w14:paraId="07976A34" w14:textId="267EA9C1" w:rsidR="00723BD7" w:rsidRDefault="00000000">
            <w:r>
              <w:rPr>
                <w:color w:val="333333"/>
                <w:sz w:val="18"/>
                <w:szCs w:val="18"/>
              </w:rPr>
              <w:t>Stock</w:t>
            </w:r>
            <w:r w:rsidR="00354F8A">
              <w:rPr>
                <w:color w:val="333333"/>
                <w:sz w:val="18"/>
                <w:szCs w:val="18"/>
              </w:rPr>
              <w:t xml:space="preserve"> / Dimensionless Variables, e.g. Trust</w:t>
            </w:r>
          </w:p>
        </w:tc>
        <w:tc>
          <w:tcPr>
            <w:tcW w:w="2000" w:type="dxa"/>
            <w:tcMar>
              <w:top w:w="60" w:type="dxa"/>
              <w:left w:w="80" w:type="dxa"/>
              <w:bottom w:w="60" w:type="dxa"/>
              <w:right w:w="80" w:type="dxa"/>
            </w:tcMar>
          </w:tcPr>
          <w:p w14:paraId="56D2011D" w14:textId="77777777" w:rsidR="00723BD7" w:rsidRDefault="00000000">
            <w:r>
              <w:rPr>
                <w:color w:val="333333"/>
                <w:sz w:val="18"/>
                <w:szCs w:val="18"/>
              </w:rPr>
              <w:t>remaining addressable actor pool</w:t>
            </w:r>
          </w:p>
        </w:tc>
      </w:tr>
      <w:tr w:rsidR="00723BD7" w14:paraId="67C302A4" w14:textId="77777777">
        <w:tblPrEx>
          <w:tblCellMar>
            <w:top w:w="0" w:type="dxa"/>
            <w:bottom w:w="0" w:type="dxa"/>
          </w:tblCellMar>
        </w:tblPrEx>
        <w:tc>
          <w:tcPr>
            <w:tcW w:w="1650" w:type="dxa"/>
            <w:tcMar>
              <w:top w:w="60" w:type="dxa"/>
              <w:left w:w="80" w:type="dxa"/>
              <w:bottom w:w="60" w:type="dxa"/>
              <w:right w:w="80" w:type="dxa"/>
            </w:tcMar>
          </w:tcPr>
          <w:p w14:paraId="75DE5F95" w14:textId="77777777" w:rsidR="00723BD7" w:rsidRDefault="00000000">
            <w:r>
              <w:rPr>
                <w:color w:val="333333"/>
                <w:sz w:val="18"/>
                <w:szCs w:val="18"/>
              </w:rPr>
              <w:t>Needs (Who)</w:t>
            </w:r>
          </w:p>
        </w:tc>
        <w:tc>
          <w:tcPr>
            <w:tcW w:w="2650" w:type="dxa"/>
            <w:tcMar>
              <w:top w:w="60" w:type="dxa"/>
              <w:left w:w="80" w:type="dxa"/>
              <w:bottom w:w="60" w:type="dxa"/>
              <w:right w:w="80" w:type="dxa"/>
            </w:tcMar>
          </w:tcPr>
          <w:p w14:paraId="6F05CF76" w14:textId="77777777" w:rsidR="00723BD7" w:rsidRDefault="00000000">
            <w:r>
              <w:rPr>
                <w:color w:val="333333"/>
                <w:sz w:val="18"/>
                <w:szCs w:val="18"/>
              </w:rPr>
              <w:t>Fundamental needs actors seek to satisfy (Max-Neef)</w:t>
            </w:r>
          </w:p>
        </w:tc>
        <w:tc>
          <w:tcPr>
            <w:tcW w:w="2300" w:type="dxa"/>
            <w:tcMar>
              <w:top w:w="60" w:type="dxa"/>
              <w:left w:w="80" w:type="dxa"/>
              <w:bottom w:w="60" w:type="dxa"/>
              <w:right w:w="80" w:type="dxa"/>
            </w:tcMar>
          </w:tcPr>
          <w:p w14:paraId="4CF4D748" w14:textId="77777777" w:rsidR="00723BD7" w:rsidRDefault="00000000">
            <w:r>
              <w:rPr>
                <w:color w:val="333333"/>
                <w:sz w:val="18"/>
                <w:szCs w:val="18"/>
              </w:rPr>
              <w:t>Degree to which needs are satisfied</w:t>
            </w:r>
          </w:p>
        </w:tc>
        <w:tc>
          <w:tcPr>
            <w:tcW w:w="1200" w:type="dxa"/>
            <w:tcMar>
              <w:top w:w="60" w:type="dxa"/>
              <w:left w:w="80" w:type="dxa"/>
              <w:bottom w:w="60" w:type="dxa"/>
              <w:right w:w="80" w:type="dxa"/>
            </w:tcMar>
          </w:tcPr>
          <w:p w14:paraId="67F3B0E8" w14:textId="1C971D2C" w:rsidR="00723BD7" w:rsidRDefault="00000000">
            <w:r>
              <w:rPr>
                <w:color w:val="333333"/>
                <w:sz w:val="18"/>
                <w:szCs w:val="18"/>
              </w:rPr>
              <w:t>Auxiliary</w:t>
            </w:r>
            <w:r w:rsidR="00354F8A">
              <w:rPr>
                <w:color w:val="333333"/>
                <w:sz w:val="18"/>
                <w:szCs w:val="18"/>
              </w:rPr>
              <w:t xml:space="preserve"> / Dimensionless Stock</w:t>
            </w:r>
          </w:p>
        </w:tc>
        <w:tc>
          <w:tcPr>
            <w:tcW w:w="2000" w:type="dxa"/>
            <w:tcMar>
              <w:top w:w="60" w:type="dxa"/>
              <w:left w:w="80" w:type="dxa"/>
              <w:bottom w:w="60" w:type="dxa"/>
              <w:right w:w="80" w:type="dxa"/>
            </w:tcMar>
          </w:tcPr>
          <w:p w14:paraId="0AD6A6A0" w14:textId="77777777" w:rsidR="00723BD7" w:rsidRDefault="00000000">
            <w:r>
              <w:rPr>
                <w:color w:val="333333"/>
                <w:sz w:val="18"/>
                <w:szCs w:val="18"/>
              </w:rPr>
              <w:t>need satisfaction level</w:t>
            </w:r>
          </w:p>
        </w:tc>
      </w:tr>
      <w:tr w:rsidR="00723BD7" w14:paraId="377AFC75" w14:textId="77777777">
        <w:tblPrEx>
          <w:tblCellMar>
            <w:top w:w="0" w:type="dxa"/>
            <w:bottom w:w="0" w:type="dxa"/>
          </w:tblCellMar>
        </w:tblPrEx>
        <w:tc>
          <w:tcPr>
            <w:tcW w:w="1650" w:type="dxa"/>
            <w:tcMar>
              <w:top w:w="60" w:type="dxa"/>
              <w:left w:w="80" w:type="dxa"/>
              <w:bottom w:w="60" w:type="dxa"/>
              <w:right w:w="80" w:type="dxa"/>
            </w:tcMar>
          </w:tcPr>
          <w:p w14:paraId="3F494876" w14:textId="77777777" w:rsidR="00723BD7" w:rsidRDefault="00000000">
            <w:r>
              <w:rPr>
                <w:color w:val="333333"/>
                <w:sz w:val="18"/>
                <w:szCs w:val="18"/>
              </w:rPr>
              <w:t>Stakeholders (Who)</w:t>
            </w:r>
          </w:p>
        </w:tc>
        <w:tc>
          <w:tcPr>
            <w:tcW w:w="2650" w:type="dxa"/>
            <w:tcMar>
              <w:top w:w="60" w:type="dxa"/>
              <w:left w:w="80" w:type="dxa"/>
              <w:bottom w:w="60" w:type="dxa"/>
              <w:right w:w="80" w:type="dxa"/>
            </w:tcMar>
          </w:tcPr>
          <w:p w14:paraId="796DAC82" w14:textId="15FB23AA" w:rsidR="00723BD7" w:rsidRDefault="00000000">
            <w:r>
              <w:rPr>
                <w:color w:val="333333"/>
                <w:sz w:val="18"/>
                <w:szCs w:val="18"/>
              </w:rPr>
              <w:t>Roles actors take with respect to the firm (customer, beneficiary, ecosystem, …)</w:t>
            </w:r>
            <w:r w:rsidR="00354F8A">
              <w:rPr>
                <w:color w:val="333333"/>
                <w:sz w:val="18"/>
                <w:szCs w:val="18"/>
              </w:rPr>
              <w:t>, Decision-Makers</w:t>
            </w:r>
          </w:p>
        </w:tc>
        <w:tc>
          <w:tcPr>
            <w:tcW w:w="2300" w:type="dxa"/>
            <w:tcMar>
              <w:top w:w="60" w:type="dxa"/>
              <w:left w:w="80" w:type="dxa"/>
              <w:bottom w:w="60" w:type="dxa"/>
              <w:right w:w="80" w:type="dxa"/>
            </w:tcMar>
          </w:tcPr>
          <w:p w14:paraId="7F7FE8AA" w14:textId="77777777" w:rsidR="00723BD7" w:rsidRDefault="00000000">
            <w:r>
              <w:rPr>
                <w:color w:val="333333"/>
                <w:sz w:val="18"/>
                <w:szCs w:val="18"/>
              </w:rPr>
              <w:t>Number of engaged actors per role; salience</w:t>
            </w:r>
          </w:p>
        </w:tc>
        <w:tc>
          <w:tcPr>
            <w:tcW w:w="1200" w:type="dxa"/>
            <w:tcMar>
              <w:top w:w="60" w:type="dxa"/>
              <w:left w:w="80" w:type="dxa"/>
              <w:bottom w:w="60" w:type="dxa"/>
              <w:right w:w="80" w:type="dxa"/>
            </w:tcMar>
          </w:tcPr>
          <w:p w14:paraId="690DC242" w14:textId="3CAC9D5F" w:rsidR="00723BD7" w:rsidRDefault="00000000">
            <w:r>
              <w:rPr>
                <w:color w:val="333333"/>
                <w:sz w:val="18"/>
                <w:szCs w:val="18"/>
              </w:rPr>
              <w:t>Stock</w:t>
            </w:r>
            <w:r w:rsidR="00354F8A">
              <w:rPr>
                <w:color w:val="333333"/>
                <w:sz w:val="18"/>
                <w:szCs w:val="18"/>
              </w:rPr>
              <w:t xml:space="preserve"> / </w:t>
            </w:r>
            <w:r w:rsidR="00354F8A">
              <w:rPr>
                <w:color w:val="333333"/>
                <w:sz w:val="18"/>
                <w:szCs w:val="18"/>
              </w:rPr>
              <w:t>Dimensionless Variables</w:t>
            </w:r>
            <w:r w:rsidR="00354F8A">
              <w:rPr>
                <w:color w:val="333333"/>
                <w:sz w:val="18"/>
                <w:szCs w:val="18"/>
              </w:rPr>
              <w:t xml:space="preserve"> / Externalities that make decisions about the flows (turn off, on, etc.)</w:t>
            </w:r>
          </w:p>
        </w:tc>
        <w:tc>
          <w:tcPr>
            <w:tcW w:w="2000" w:type="dxa"/>
            <w:tcMar>
              <w:top w:w="60" w:type="dxa"/>
              <w:left w:w="80" w:type="dxa"/>
              <w:bottom w:w="60" w:type="dxa"/>
              <w:right w:w="80" w:type="dxa"/>
            </w:tcMar>
          </w:tcPr>
          <w:p w14:paraId="4FE24B99" w14:textId="77777777" w:rsidR="00723BD7" w:rsidRDefault="00000000">
            <w:r>
              <w:rPr>
                <w:color w:val="333333"/>
                <w:sz w:val="18"/>
                <w:szCs w:val="18"/>
              </w:rPr>
              <w:t>engaged stakeholder base</w:t>
            </w:r>
          </w:p>
        </w:tc>
      </w:tr>
      <w:tr w:rsidR="00723BD7" w14:paraId="00629441" w14:textId="77777777">
        <w:tblPrEx>
          <w:tblCellMar>
            <w:top w:w="0" w:type="dxa"/>
            <w:bottom w:w="0" w:type="dxa"/>
          </w:tblCellMar>
        </w:tblPrEx>
        <w:tc>
          <w:tcPr>
            <w:tcW w:w="1650" w:type="dxa"/>
            <w:tcMar>
              <w:top w:w="60" w:type="dxa"/>
              <w:left w:w="80" w:type="dxa"/>
              <w:bottom w:w="60" w:type="dxa"/>
              <w:right w:w="80" w:type="dxa"/>
            </w:tcMar>
          </w:tcPr>
          <w:p w14:paraId="0433E01C" w14:textId="77777777" w:rsidR="00723BD7" w:rsidRDefault="00000000">
            <w:r>
              <w:rPr>
                <w:color w:val="333333"/>
                <w:sz w:val="18"/>
                <w:szCs w:val="18"/>
              </w:rPr>
              <w:t>Relationships (People)</w:t>
            </w:r>
          </w:p>
        </w:tc>
        <w:tc>
          <w:tcPr>
            <w:tcW w:w="2650" w:type="dxa"/>
            <w:tcMar>
              <w:top w:w="60" w:type="dxa"/>
              <w:left w:w="80" w:type="dxa"/>
              <w:bottom w:w="60" w:type="dxa"/>
              <w:right w:w="80" w:type="dxa"/>
            </w:tcMar>
          </w:tcPr>
          <w:p w14:paraId="55295036" w14:textId="77777777" w:rsidR="00723BD7" w:rsidRDefault="00000000">
            <w:r>
              <w:rPr>
                <w:color w:val="333333"/>
                <w:sz w:val="18"/>
                <w:szCs w:val="18"/>
              </w:rPr>
              <w:t>Quality of the firm–stakeholder connection</w:t>
            </w:r>
          </w:p>
        </w:tc>
        <w:tc>
          <w:tcPr>
            <w:tcW w:w="2300" w:type="dxa"/>
            <w:tcMar>
              <w:top w:w="60" w:type="dxa"/>
              <w:left w:w="80" w:type="dxa"/>
              <w:bottom w:w="60" w:type="dxa"/>
              <w:right w:w="80" w:type="dxa"/>
            </w:tcMar>
          </w:tcPr>
          <w:p w14:paraId="2CF710BE" w14:textId="77777777" w:rsidR="00723BD7" w:rsidRDefault="00000000">
            <w:r>
              <w:rPr>
                <w:color w:val="333333"/>
                <w:sz w:val="18"/>
                <w:szCs w:val="18"/>
              </w:rPr>
              <w:t>Strength / trust level</w:t>
            </w:r>
          </w:p>
        </w:tc>
        <w:tc>
          <w:tcPr>
            <w:tcW w:w="1200" w:type="dxa"/>
            <w:tcMar>
              <w:top w:w="60" w:type="dxa"/>
              <w:left w:w="80" w:type="dxa"/>
              <w:bottom w:w="60" w:type="dxa"/>
              <w:right w:w="80" w:type="dxa"/>
            </w:tcMar>
          </w:tcPr>
          <w:p w14:paraId="1D4A1CCC" w14:textId="7083CA5D" w:rsidR="00723BD7" w:rsidRDefault="00000000">
            <w:r>
              <w:rPr>
                <w:color w:val="333333"/>
                <w:sz w:val="18"/>
                <w:szCs w:val="18"/>
              </w:rPr>
              <w:t>Stock (slow)</w:t>
            </w:r>
            <w:r w:rsidR="00354F8A">
              <w:rPr>
                <w:color w:val="333333"/>
                <w:sz w:val="18"/>
                <w:szCs w:val="18"/>
              </w:rPr>
              <w:t xml:space="preserve"> / </w:t>
            </w:r>
            <w:r w:rsidR="00354F8A">
              <w:rPr>
                <w:color w:val="333333"/>
                <w:sz w:val="18"/>
                <w:szCs w:val="18"/>
              </w:rPr>
              <w:t>Dimensionless Variables</w:t>
            </w:r>
          </w:p>
        </w:tc>
        <w:tc>
          <w:tcPr>
            <w:tcW w:w="2000" w:type="dxa"/>
            <w:tcMar>
              <w:top w:w="60" w:type="dxa"/>
              <w:left w:w="80" w:type="dxa"/>
              <w:bottom w:w="60" w:type="dxa"/>
              <w:right w:w="80" w:type="dxa"/>
            </w:tcMar>
          </w:tcPr>
          <w:p w14:paraId="3F3F746F" w14:textId="77777777" w:rsidR="00723BD7" w:rsidRDefault="00000000">
            <w:r>
              <w:rPr>
                <w:color w:val="333333"/>
                <w:sz w:val="18"/>
                <w:szCs w:val="18"/>
              </w:rPr>
              <w:t>relationship strength and trust</w:t>
            </w:r>
          </w:p>
        </w:tc>
      </w:tr>
      <w:tr w:rsidR="00723BD7" w14:paraId="0CC19AB9" w14:textId="77777777">
        <w:tblPrEx>
          <w:tblCellMar>
            <w:top w:w="0" w:type="dxa"/>
            <w:bottom w:w="0" w:type="dxa"/>
          </w:tblCellMar>
        </w:tblPrEx>
        <w:tc>
          <w:tcPr>
            <w:tcW w:w="1650" w:type="dxa"/>
            <w:tcMar>
              <w:top w:w="60" w:type="dxa"/>
              <w:left w:w="80" w:type="dxa"/>
              <w:bottom w:w="60" w:type="dxa"/>
              <w:right w:w="80" w:type="dxa"/>
            </w:tcMar>
          </w:tcPr>
          <w:p w14:paraId="60DE317E" w14:textId="77777777" w:rsidR="00723BD7" w:rsidRDefault="00000000">
            <w:r>
              <w:rPr>
                <w:color w:val="333333"/>
                <w:sz w:val="18"/>
                <w:szCs w:val="18"/>
              </w:rPr>
              <w:t>Channels (People)</w:t>
            </w:r>
          </w:p>
        </w:tc>
        <w:tc>
          <w:tcPr>
            <w:tcW w:w="2650" w:type="dxa"/>
            <w:tcMar>
              <w:top w:w="60" w:type="dxa"/>
              <w:left w:w="80" w:type="dxa"/>
              <w:bottom w:w="60" w:type="dxa"/>
              <w:right w:w="80" w:type="dxa"/>
            </w:tcMar>
          </w:tcPr>
          <w:p w14:paraId="471D8B3C" w14:textId="77777777" w:rsidR="00723BD7" w:rsidRDefault="00000000">
            <w:r>
              <w:rPr>
                <w:color w:val="333333"/>
                <w:sz w:val="18"/>
                <w:szCs w:val="18"/>
              </w:rPr>
              <w:t>Means of reaching and exchanging with stakeholders</w:t>
            </w:r>
          </w:p>
        </w:tc>
        <w:tc>
          <w:tcPr>
            <w:tcW w:w="2300" w:type="dxa"/>
            <w:tcMar>
              <w:top w:w="60" w:type="dxa"/>
              <w:left w:w="80" w:type="dxa"/>
              <w:bottom w:w="60" w:type="dxa"/>
              <w:right w:w="80" w:type="dxa"/>
            </w:tcMar>
          </w:tcPr>
          <w:p w14:paraId="53736A91" w14:textId="77777777" w:rsidR="00723BD7" w:rsidRDefault="00000000">
            <w:r>
              <w:rPr>
                <w:color w:val="333333"/>
                <w:sz w:val="18"/>
                <w:szCs w:val="18"/>
              </w:rPr>
              <w:t>Reach; rate of new engagement</w:t>
            </w:r>
          </w:p>
        </w:tc>
        <w:tc>
          <w:tcPr>
            <w:tcW w:w="1200" w:type="dxa"/>
            <w:tcMar>
              <w:top w:w="60" w:type="dxa"/>
              <w:left w:w="80" w:type="dxa"/>
              <w:bottom w:w="60" w:type="dxa"/>
              <w:right w:w="80" w:type="dxa"/>
            </w:tcMar>
          </w:tcPr>
          <w:p w14:paraId="0DCC1A7D" w14:textId="74CA9255" w:rsidR="00723BD7" w:rsidRDefault="00000000">
            <w:r>
              <w:rPr>
                <w:color w:val="333333"/>
                <w:sz w:val="18"/>
                <w:szCs w:val="18"/>
              </w:rPr>
              <w:t>Flow</w:t>
            </w:r>
            <w:r w:rsidR="00354F8A">
              <w:rPr>
                <w:color w:val="333333"/>
                <w:sz w:val="18"/>
                <w:szCs w:val="18"/>
              </w:rPr>
              <w:t xml:space="preserve"> / Connectors</w:t>
            </w:r>
          </w:p>
        </w:tc>
        <w:tc>
          <w:tcPr>
            <w:tcW w:w="2000" w:type="dxa"/>
            <w:tcMar>
              <w:top w:w="60" w:type="dxa"/>
              <w:left w:w="80" w:type="dxa"/>
              <w:bottom w:w="60" w:type="dxa"/>
              <w:right w:w="80" w:type="dxa"/>
            </w:tcMar>
          </w:tcPr>
          <w:p w14:paraId="6A20F0C5" w14:textId="77777777" w:rsidR="00723BD7" w:rsidRDefault="00000000">
            <w:r>
              <w:rPr>
                <w:color w:val="333333"/>
                <w:sz w:val="18"/>
                <w:szCs w:val="18"/>
              </w:rPr>
              <w:t>engagement rate</w:t>
            </w:r>
          </w:p>
        </w:tc>
      </w:tr>
      <w:tr w:rsidR="00723BD7" w14:paraId="2983E0BA" w14:textId="77777777">
        <w:tblPrEx>
          <w:tblCellMar>
            <w:top w:w="0" w:type="dxa"/>
            <w:bottom w:w="0" w:type="dxa"/>
          </w:tblCellMar>
        </w:tblPrEx>
        <w:tc>
          <w:tcPr>
            <w:tcW w:w="1650" w:type="dxa"/>
            <w:tcMar>
              <w:top w:w="60" w:type="dxa"/>
              <w:left w:w="80" w:type="dxa"/>
              <w:bottom w:w="60" w:type="dxa"/>
              <w:right w:w="80" w:type="dxa"/>
            </w:tcMar>
          </w:tcPr>
          <w:p w14:paraId="7A5966EC" w14:textId="77777777" w:rsidR="00723BD7" w:rsidRDefault="00000000">
            <w:r>
              <w:rPr>
                <w:color w:val="333333"/>
                <w:sz w:val="18"/>
                <w:szCs w:val="18"/>
              </w:rPr>
              <w:t>Value Co-Creations (Value)</w:t>
            </w:r>
          </w:p>
        </w:tc>
        <w:tc>
          <w:tcPr>
            <w:tcW w:w="2650" w:type="dxa"/>
            <w:tcMar>
              <w:top w:w="60" w:type="dxa"/>
              <w:left w:w="80" w:type="dxa"/>
              <w:bottom w:w="60" w:type="dxa"/>
              <w:right w:w="80" w:type="dxa"/>
            </w:tcMar>
          </w:tcPr>
          <w:p w14:paraId="52CE6305" w14:textId="77777777" w:rsidR="00723BD7" w:rsidRDefault="00000000">
            <w:r>
              <w:rPr>
                <w:color w:val="333333"/>
                <w:sz w:val="18"/>
                <w:szCs w:val="18"/>
              </w:rPr>
              <w:t>Positive value created with and for stakeholders</w:t>
            </w:r>
          </w:p>
        </w:tc>
        <w:tc>
          <w:tcPr>
            <w:tcW w:w="2300" w:type="dxa"/>
            <w:tcMar>
              <w:top w:w="60" w:type="dxa"/>
              <w:left w:w="80" w:type="dxa"/>
              <w:bottom w:w="60" w:type="dxa"/>
              <w:right w:w="80" w:type="dxa"/>
            </w:tcMar>
          </w:tcPr>
          <w:p w14:paraId="52B99740" w14:textId="77777777" w:rsidR="00723BD7" w:rsidRDefault="00000000">
            <w:r>
              <w:rPr>
                <w:color w:val="333333"/>
                <w:sz w:val="18"/>
                <w:szCs w:val="18"/>
              </w:rPr>
              <w:t>Rate at which value is created</w:t>
            </w:r>
          </w:p>
        </w:tc>
        <w:tc>
          <w:tcPr>
            <w:tcW w:w="1200" w:type="dxa"/>
            <w:tcMar>
              <w:top w:w="60" w:type="dxa"/>
              <w:left w:w="80" w:type="dxa"/>
              <w:bottom w:w="60" w:type="dxa"/>
              <w:right w:w="80" w:type="dxa"/>
            </w:tcMar>
          </w:tcPr>
          <w:p w14:paraId="34EC4353" w14:textId="77777777" w:rsidR="00723BD7" w:rsidRDefault="00000000">
            <w:r>
              <w:rPr>
                <w:color w:val="333333"/>
                <w:sz w:val="18"/>
                <w:szCs w:val="18"/>
              </w:rPr>
              <w:t>Flow</w:t>
            </w:r>
          </w:p>
        </w:tc>
        <w:tc>
          <w:tcPr>
            <w:tcW w:w="2000" w:type="dxa"/>
            <w:tcMar>
              <w:top w:w="60" w:type="dxa"/>
              <w:left w:w="80" w:type="dxa"/>
              <w:bottom w:w="60" w:type="dxa"/>
              <w:right w:w="80" w:type="dxa"/>
            </w:tcMar>
          </w:tcPr>
          <w:p w14:paraId="66DF8F28" w14:textId="77777777" w:rsidR="00723BD7" w:rsidRDefault="00000000">
            <w:r>
              <w:rPr>
                <w:color w:val="333333"/>
                <w:sz w:val="18"/>
                <w:szCs w:val="18"/>
              </w:rPr>
              <w:t>value co-creation rate</w:t>
            </w:r>
          </w:p>
        </w:tc>
      </w:tr>
      <w:tr w:rsidR="00723BD7" w14:paraId="3164009F" w14:textId="77777777">
        <w:tblPrEx>
          <w:tblCellMar>
            <w:top w:w="0" w:type="dxa"/>
            <w:bottom w:w="0" w:type="dxa"/>
          </w:tblCellMar>
        </w:tblPrEx>
        <w:tc>
          <w:tcPr>
            <w:tcW w:w="1650" w:type="dxa"/>
            <w:tcMar>
              <w:top w:w="60" w:type="dxa"/>
              <w:left w:w="80" w:type="dxa"/>
              <w:bottom w:w="60" w:type="dxa"/>
              <w:right w:w="80" w:type="dxa"/>
            </w:tcMar>
          </w:tcPr>
          <w:p w14:paraId="43510853" w14:textId="77777777" w:rsidR="00723BD7" w:rsidRDefault="00000000">
            <w:r>
              <w:rPr>
                <w:color w:val="333333"/>
                <w:sz w:val="18"/>
                <w:szCs w:val="18"/>
              </w:rPr>
              <w:t>Value Co-Destructions (Value)</w:t>
            </w:r>
          </w:p>
        </w:tc>
        <w:tc>
          <w:tcPr>
            <w:tcW w:w="2650" w:type="dxa"/>
            <w:tcMar>
              <w:top w:w="60" w:type="dxa"/>
              <w:left w:w="80" w:type="dxa"/>
              <w:bottom w:w="60" w:type="dxa"/>
              <w:right w:w="80" w:type="dxa"/>
            </w:tcMar>
          </w:tcPr>
          <w:p w14:paraId="16B9404E" w14:textId="77777777" w:rsidR="00723BD7" w:rsidRDefault="00000000">
            <w:r>
              <w:rPr>
                <w:color w:val="333333"/>
                <w:sz w:val="18"/>
                <w:szCs w:val="18"/>
              </w:rPr>
              <w:t>Negative value / harm imposed on stakeholders</w:t>
            </w:r>
          </w:p>
        </w:tc>
        <w:tc>
          <w:tcPr>
            <w:tcW w:w="2300" w:type="dxa"/>
            <w:tcMar>
              <w:top w:w="60" w:type="dxa"/>
              <w:left w:w="80" w:type="dxa"/>
              <w:bottom w:w="60" w:type="dxa"/>
              <w:right w:w="80" w:type="dxa"/>
            </w:tcMar>
          </w:tcPr>
          <w:p w14:paraId="5BE4B63E" w14:textId="77777777" w:rsidR="00723BD7" w:rsidRDefault="00000000">
            <w:r>
              <w:rPr>
                <w:color w:val="333333"/>
                <w:sz w:val="18"/>
                <w:szCs w:val="18"/>
              </w:rPr>
              <w:t>Rate at which harm is generated</w:t>
            </w:r>
          </w:p>
        </w:tc>
        <w:tc>
          <w:tcPr>
            <w:tcW w:w="1200" w:type="dxa"/>
            <w:tcMar>
              <w:top w:w="60" w:type="dxa"/>
              <w:left w:w="80" w:type="dxa"/>
              <w:bottom w:w="60" w:type="dxa"/>
              <w:right w:w="80" w:type="dxa"/>
            </w:tcMar>
          </w:tcPr>
          <w:p w14:paraId="7030546B" w14:textId="77777777" w:rsidR="00723BD7" w:rsidRDefault="00000000">
            <w:r>
              <w:rPr>
                <w:color w:val="333333"/>
                <w:sz w:val="18"/>
                <w:szCs w:val="18"/>
              </w:rPr>
              <w:t>Flow</w:t>
            </w:r>
          </w:p>
        </w:tc>
        <w:tc>
          <w:tcPr>
            <w:tcW w:w="2000" w:type="dxa"/>
            <w:tcMar>
              <w:top w:w="60" w:type="dxa"/>
              <w:left w:w="80" w:type="dxa"/>
              <w:bottom w:w="60" w:type="dxa"/>
              <w:right w:w="80" w:type="dxa"/>
            </w:tcMar>
          </w:tcPr>
          <w:p w14:paraId="09237C4B" w14:textId="77777777" w:rsidR="00723BD7" w:rsidRDefault="00000000">
            <w:r>
              <w:rPr>
                <w:color w:val="333333"/>
                <w:sz w:val="18"/>
                <w:szCs w:val="18"/>
              </w:rPr>
              <w:t>value co-destruction rate</w:t>
            </w:r>
          </w:p>
        </w:tc>
      </w:tr>
      <w:tr w:rsidR="00723BD7" w14:paraId="76683D90" w14:textId="77777777">
        <w:tblPrEx>
          <w:tblCellMar>
            <w:top w:w="0" w:type="dxa"/>
            <w:bottom w:w="0" w:type="dxa"/>
          </w:tblCellMar>
        </w:tblPrEx>
        <w:tc>
          <w:tcPr>
            <w:tcW w:w="1650" w:type="dxa"/>
            <w:tcMar>
              <w:top w:w="60" w:type="dxa"/>
              <w:left w:w="80" w:type="dxa"/>
              <w:bottom w:w="60" w:type="dxa"/>
              <w:right w:w="80" w:type="dxa"/>
            </w:tcMar>
          </w:tcPr>
          <w:p w14:paraId="64789027" w14:textId="77777777" w:rsidR="00723BD7" w:rsidRDefault="00000000">
            <w:r>
              <w:rPr>
                <w:color w:val="333333"/>
                <w:sz w:val="18"/>
                <w:szCs w:val="18"/>
              </w:rPr>
              <w:t>Products / Services (Value)</w:t>
            </w:r>
          </w:p>
        </w:tc>
        <w:tc>
          <w:tcPr>
            <w:tcW w:w="2650" w:type="dxa"/>
            <w:tcMar>
              <w:top w:w="60" w:type="dxa"/>
              <w:left w:w="80" w:type="dxa"/>
              <w:bottom w:w="60" w:type="dxa"/>
              <w:right w:w="80" w:type="dxa"/>
            </w:tcMar>
          </w:tcPr>
          <w:p w14:paraId="003F1172" w14:textId="77777777" w:rsidR="00723BD7" w:rsidRDefault="00000000">
            <w:r>
              <w:rPr>
                <w:color w:val="333333"/>
                <w:sz w:val="18"/>
                <w:szCs w:val="18"/>
              </w:rPr>
              <w:t>Offerings that carry the value propositions</w:t>
            </w:r>
          </w:p>
        </w:tc>
        <w:tc>
          <w:tcPr>
            <w:tcW w:w="2300" w:type="dxa"/>
            <w:tcMar>
              <w:top w:w="60" w:type="dxa"/>
              <w:left w:w="80" w:type="dxa"/>
              <w:bottom w:w="60" w:type="dxa"/>
              <w:right w:w="80" w:type="dxa"/>
            </w:tcMar>
          </w:tcPr>
          <w:p w14:paraId="0E8CFDC3" w14:textId="77777777" w:rsidR="00723BD7" w:rsidRDefault="00000000">
            <w:r>
              <w:rPr>
                <w:color w:val="333333"/>
                <w:sz w:val="18"/>
                <w:szCs w:val="18"/>
              </w:rPr>
              <w:t>Delivery quality; availability</w:t>
            </w:r>
          </w:p>
        </w:tc>
        <w:tc>
          <w:tcPr>
            <w:tcW w:w="1200" w:type="dxa"/>
            <w:tcMar>
              <w:top w:w="60" w:type="dxa"/>
              <w:left w:w="80" w:type="dxa"/>
              <w:bottom w:w="60" w:type="dxa"/>
              <w:right w:w="80" w:type="dxa"/>
            </w:tcMar>
          </w:tcPr>
          <w:p w14:paraId="51EFCFEC" w14:textId="4E193A38" w:rsidR="00723BD7" w:rsidRDefault="00000000">
            <w:r>
              <w:rPr>
                <w:color w:val="333333"/>
                <w:sz w:val="18"/>
                <w:szCs w:val="18"/>
              </w:rPr>
              <w:t>Auxiliary</w:t>
            </w:r>
            <w:r w:rsidR="00354F8A">
              <w:rPr>
                <w:color w:val="333333"/>
                <w:sz w:val="18"/>
                <w:szCs w:val="18"/>
              </w:rPr>
              <w:t xml:space="preserve"> / Stock</w:t>
            </w:r>
          </w:p>
        </w:tc>
        <w:tc>
          <w:tcPr>
            <w:tcW w:w="2000" w:type="dxa"/>
            <w:tcMar>
              <w:top w:w="60" w:type="dxa"/>
              <w:left w:w="80" w:type="dxa"/>
              <w:bottom w:w="60" w:type="dxa"/>
              <w:right w:w="80" w:type="dxa"/>
            </w:tcMar>
          </w:tcPr>
          <w:p w14:paraId="78086DC6" w14:textId="77777777" w:rsidR="00723BD7" w:rsidRDefault="00000000">
            <w:r>
              <w:rPr>
                <w:color w:val="333333"/>
                <w:sz w:val="18"/>
                <w:szCs w:val="18"/>
              </w:rPr>
              <w:t>offering delivery quality</w:t>
            </w:r>
          </w:p>
        </w:tc>
      </w:tr>
      <w:tr w:rsidR="00723BD7" w14:paraId="7F14F625" w14:textId="77777777">
        <w:tblPrEx>
          <w:tblCellMar>
            <w:top w:w="0" w:type="dxa"/>
            <w:bottom w:w="0" w:type="dxa"/>
          </w:tblCellMar>
        </w:tblPrEx>
        <w:tc>
          <w:tcPr>
            <w:tcW w:w="1650" w:type="dxa"/>
            <w:tcMar>
              <w:top w:w="60" w:type="dxa"/>
              <w:left w:w="80" w:type="dxa"/>
              <w:bottom w:w="60" w:type="dxa"/>
              <w:right w:w="80" w:type="dxa"/>
            </w:tcMar>
          </w:tcPr>
          <w:p w14:paraId="180EA83D" w14:textId="77777777" w:rsidR="00723BD7" w:rsidRDefault="00000000">
            <w:r>
              <w:rPr>
                <w:color w:val="333333"/>
                <w:sz w:val="18"/>
                <w:szCs w:val="18"/>
              </w:rPr>
              <w:t>Activities (Process)</w:t>
            </w:r>
          </w:p>
        </w:tc>
        <w:tc>
          <w:tcPr>
            <w:tcW w:w="2650" w:type="dxa"/>
            <w:tcMar>
              <w:top w:w="60" w:type="dxa"/>
              <w:left w:w="80" w:type="dxa"/>
              <w:bottom w:w="60" w:type="dxa"/>
              <w:right w:w="80" w:type="dxa"/>
            </w:tcMar>
          </w:tcPr>
          <w:p w14:paraId="0558E76F" w14:textId="77777777" w:rsidR="00723BD7" w:rsidRDefault="00000000">
            <w:r>
              <w:rPr>
                <w:color w:val="333333"/>
                <w:sz w:val="18"/>
                <w:szCs w:val="18"/>
              </w:rPr>
              <w:t>Processes the firm performs to create/destroy value</w:t>
            </w:r>
          </w:p>
        </w:tc>
        <w:tc>
          <w:tcPr>
            <w:tcW w:w="2300" w:type="dxa"/>
            <w:tcMar>
              <w:top w:w="60" w:type="dxa"/>
              <w:left w:w="80" w:type="dxa"/>
              <w:bottom w:w="60" w:type="dxa"/>
              <w:right w:w="80" w:type="dxa"/>
            </w:tcMar>
          </w:tcPr>
          <w:p w14:paraId="3EB33470" w14:textId="77777777" w:rsidR="00723BD7" w:rsidRDefault="00000000">
            <w:r>
              <w:rPr>
                <w:color w:val="333333"/>
                <w:sz w:val="18"/>
                <w:szCs w:val="18"/>
              </w:rPr>
              <w:t>Throughput; work backlog</w:t>
            </w:r>
          </w:p>
        </w:tc>
        <w:tc>
          <w:tcPr>
            <w:tcW w:w="1200" w:type="dxa"/>
            <w:tcMar>
              <w:top w:w="60" w:type="dxa"/>
              <w:left w:w="80" w:type="dxa"/>
              <w:bottom w:w="60" w:type="dxa"/>
              <w:right w:w="80" w:type="dxa"/>
            </w:tcMar>
          </w:tcPr>
          <w:p w14:paraId="7BEF7F7B" w14:textId="1258CC20" w:rsidR="00723BD7" w:rsidRDefault="00000000">
            <w:r>
              <w:rPr>
                <w:color w:val="333333"/>
                <w:sz w:val="18"/>
                <w:szCs w:val="18"/>
              </w:rPr>
              <w:t>Flow (+ backlog Stock)</w:t>
            </w:r>
            <w:r w:rsidR="00354F8A">
              <w:rPr>
                <w:color w:val="333333"/>
                <w:sz w:val="18"/>
                <w:szCs w:val="18"/>
              </w:rPr>
              <w:t xml:space="preserve"> / Converter</w:t>
            </w:r>
          </w:p>
        </w:tc>
        <w:tc>
          <w:tcPr>
            <w:tcW w:w="2000" w:type="dxa"/>
            <w:tcMar>
              <w:top w:w="60" w:type="dxa"/>
              <w:left w:w="80" w:type="dxa"/>
              <w:bottom w:w="60" w:type="dxa"/>
              <w:right w:w="80" w:type="dxa"/>
            </w:tcMar>
          </w:tcPr>
          <w:p w14:paraId="2DFA86DF" w14:textId="77777777" w:rsidR="00723BD7" w:rsidRDefault="00000000">
            <w:r>
              <w:rPr>
                <w:color w:val="333333"/>
                <w:sz w:val="18"/>
                <w:szCs w:val="18"/>
              </w:rPr>
              <w:t>activity throughput</w:t>
            </w:r>
          </w:p>
        </w:tc>
      </w:tr>
      <w:tr w:rsidR="00723BD7" w14:paraId="0ED168DA" w14:textId="77777777">
        <w:tblPrEx>
          <w:tblCellMar>
            <w:top w:w="0" w:type="dxa"/>
            <w:bottom w:w="0" w:type="dxa"/>
          </w:tblCellMar>
        </w:tblPrEx>
        <w:tc>
          <w:tcPr>
            <w:tcW w:w="1650" w:type="dxa"/>
            <w:tcMar>
              <w:top w:w="60" w:type="dxa"/>
              <w:left w:w="80" w:type="dxa"/>
              <w:bottom w:w="60" w:type="dxa"/>
              <w:right w:w="80" w:type="dxa"/>
            </w:tcMar>
          </w:tcPr>
          <w:p w14:paraId="6233E12D" w14:textId="77777777" w:rsidR="00723BD7" w:rsidRDefault="00000000">
            <w:r>
              <w:rPr>
                <w:color w:val="333333"/>
                <w:sz w:val="18"/>
                <w:szCs w:val="18"/>
              </w:rPr>
              <w:t>Resources (Process)</w:t>
            </w:r>
          </w:p>
        </w:tc>
        <w:tc>
          <w:tcPr>
            <w:tcW w:w="2650" w:type="dxa"/>
            <w:tcMar>
              <w:top w:w="60" w:type="dxa"/>
              <w:left w:w="80" w:type="dxa"/>
              <w:bottom w:w="60" w:type="dxa"/>
              <w:right w:w="80" w:type="dxa"/>
            </w:tcMar>
          </w:tcPr>
          <w:p w14:paraId="7B525F60" w14:textId="77777777" w:rsidR="00723BD7" w:rsidRDefault="00000000">
            <w:r>
              <w:rPr>
                <w:color w:val="333333"/>
                <w:sz w:val="18"/>
                <w:szCs w:val="18"/>
              </w:rPr>
              <w:t>Capabilities, assets, capital the activities use</w:t>
            </w:r>
          </w:p>
        </w:tc>
        <w:tc>
          <w:tcPr>
            <w:tcW w:w="2300" w:type="dxa"/>
            <w:tcMar>
              <w:top w:w="60" w:type="dxa"/>
              <w:left w:w="80" w:type="dxa"/>
              <w:bottom w:w="60" w:type="dxa"/>
              <w:right w:w="80" w:type="dxa"/>
            </w:tcMar>
          </w:tcPr>
          <w:p w14:paraId="2221D286" w14:textId="77777777" w:rsidR="00723BD7" w:rsidRDefault="00000000">
            <w:r>
              <w:rPr>
                <w:color w:val="333333"/>
                <w:sz w:val="18"/>
                <w:szCs w:val="18"/>
              </w:rPr>
              <w:t>Stock of resources and capabilities; resulting capacity</w:t>
            </w:r>
          </w:p>
        </w:tc>
        <w:tc>
          <w:tcPr>
            <w:tcW w:w="1200" w:type="dxa"/>
            <w:tcMar>
              <w:top w:w="60" w:type="dxa"/>
              <w:left w:w="80" w:type="dxa"/>
              <w:bottom w:w="60" w:type="dxa"/>
              <w:right w:w="80" w:type="dxa"/>
            </w:tcMar>
          </w:tcPr>
          <w:p w14:paraId="069620D8" w14:textId="0CC6D2E4" w:rsidR="00723BD7" w:rsidRDefault="00000000">
            <w:r>
              <w:rPr>
                <w:color w:val="333333"/>
                <w:sz w:val="18"/>
                <w:szCs w:val="18"/>
              </w:rPr>
              <w:t>Stock (+ derived Aux)</w:t>
            </w:r>
            <w:r w:rsidR="000C207E">
              <w:rPr>
                <w:color w:val="333333"/>
                <w:sz w:val="18"/>
                <w:szCs w:val="18"/>
              </w:rPr>
              <w:t xml:space="preserve"> / Constant </w:t>
            </w:r>
          </w:p>
        </w:tc>
        <w:tc>
          <w:tcPr>
            <w:tcW w:w="2000" w:type="dxa"/>
            <w:tcMar>
              <w:top w:w="60" w:type="dxa"/>
              <w:left w:w="80" w:type="dxa"/>
              <w:bottom w:w="60" w:type="dxa"/>
              <w:right w:w="80" w:type="dxa"/>
            </w:tcMar>
          </w:tcPr>
          <w:p w14:paraId="4876C0DB" w14:textId="77777777" w:rsidR="00723BD7" w:rsidRDefault="00000000">
            <w:r>
              <w:rPr>
                <w:color w:val="333333"/>
                <w:sz w:val="18"/>
                <w:szCs w:val="18"/>
              </w:rPr>
              <w:t>resource and capability stock; activity capacity</w:t>
            </w:r>
          </w:p>
        </w:tc>
      </w:tr>
      <w:tr w:rsidR="00723BD7" w14:paraId="00C5DFF6" w14:textId="77777777">
        <w:tblPrEx>
          <w:tblCellMar>
            <w:top w:w="0" w:type="dxa"/>
            <w:bottom w:w="0" w:type="dxa"/>
          </w:tblCellMar>
        </w:tblPrEx>
        <w:tc>
          <w:tcPr>
            <w:tcW w:w="1650" w:type="dxa"/>
            <w:tcMar>
              <w:top w:w="60" w:type="dxa"/>
              <w:left w:w="80" w:type="dxa"/>
              <w:bottom w:w="60" w:type="dxa"/>
              <w:right w:w="80" w:type="dxa"/>
            </w:tcMar>
          </w:tcPr>
          <w:p w14:paraId="12B03E20" w14:textId="77777777" w:rsidR="00723BD7" w:rsidRDefault="00000000">
            <w:r>
              <w:rPr>
                <w:color w:val="333333"/>
                <w:sz w:val="18"/>
                <w:szCs w:val="18"/>
              </w:rPr>
              <w:t>Partnerships (Process)</w:t>
            </w:r>
          </w:p>
        </w:tc>
        <w:tc>
          <w:tcPr>
            <w:tcW w:w="2650" w:type="dxa"/>
            <w:tcMar>
              <w:top w:w="60" w:type="dxa"/>
              <w:left w:w="80" w:type="dxa"/>
              <w:bottom w:w="60" w:type="dxa"/>
              <w:right w:w="80" w:type="dxa"/>
            </w:tcMar>
          </w:tcPr>
          <w:p w14:paraId="0E4C1DAE" w14:textId="77777777" w:rsidR="00723BD7" w:rsidRDefault="00000000">
            <w:r>
              <w:rPr>
                <w:color w:val="333333"/>
                <w:sz w:val="18"/>
                <w:szCs w:val="18"/>
              </w:rPr>
              <w:t>Formal agreements with other organizations</w:t>
            </w:r>
          </w:p>
        </w:tc>
        <w:tc>
          <w:tcPr>
            <w:tcW w:w="2300" w:type="dxa"/>
            <w:tcMar>
              <w:top w:w="60" w:type="dxa"/>
              <w:left w:w="80" w:type="dxa"/>
              <w:bottom w:w="60" w:type="dxa"/>
              <w:right w:w="80" w:type="dxa"/>
            </w:tcMar>
          </w:tcPr>
          <w:p w14:paraId="191B5DB3" w14:textId="77777777" w:rsidR="00723BD7" w:rsidRDefault="00000000">
            <w:r>
              <w:rPr>
                <w:color w:val="333333"/>
                <w:sz w:val="18"/>
                <w:szCs w:val="18"/>
              </w:rPr>
              <w:t>Strength / coverage of partnerships</w:t>
            </w:r>
          </w:p>
        </w:tc>
        <w:tc>
          <w:tcPr>
            <w:tcW w:w="1200" w:type="dxa"/>
            <w:tcMar>
              <w:top w:w="60" w:type="dxa"/>
              <w:left w:w="80" w:type="dxa"/>
              <w:bottom w:w="60" w:type="dxa"/>
              <w:right w:w="80" w:type="dxa"/>
            </w:tcMar>
          </w:tcPr>
          <w:p w14:paraId="49E66C6D" w14:textId="62C9FA84" w:rsidR="00723BD7" w:rsidRDefault="00000000">
            <w:r>
              <w:rPr>
                <w:color w:val="333333"/>
                <w:sz w:val="18"/>
                <w:szCs w:val="18"/>
              </w:rPr>
              <w:t>Auxiliary</w:t>
            </w:r>
            <w:r w:rsidR="000C207E">
              <w:rPr>
                <w:color w:val="333333"/>
                <w:sz w:val="18"/>
                <w:szCs w:val="18"/>
              </w:rPr>
              <w:t xml:space="preserve"> / Connectors</w:t>
            </w:r>
          </w:p>
        </w:tc>
        <w:tc>
          <w:tcPr>
            <w:tcW w:w="2000" w:type="dxa"/>
            <w:tcMar>
              <w:top w:w="60" w:type="dxa"/>
              <w:left w:w="80" w:type="dxa"/>
              <w:bottom w:w="60" w:type="dxa"/>
              <w:right w:w="80" w:type="dxa"/>
            </w:tcMar>
          </w:tcPr>
          <w:p w14:paraId="27DA679E" w14:textId="77777777" w:rsidR="00723BD7" w:rsidRDefault="00000000">
            <w:r>
              <w:rPr>
                <w:color w:val="333333"/>
                <w:sz w:val="18"/>
                <w:szCs w:val="18"/>
              </w:rPr>
              <w:t>partnership strength</w:t>
            </w:r>
          </w:p>
        </w:tc>
      </w:tr>
      <w:tr w:rsidR="00723BD7" w14:paraId="327F098A" w14:textId="77777777">
        <w:tblPrEx>
          <w:tblCellMar>
            <w:top w:w="0" w:type="dxa"/>
            <w:bottom w:w="0" w:type="dxa"/>
          </w:tblCellMar>
        </w:tblPrEx>
        <w:tc>
          <w:tcPr>
            <w:tcW w:w="1650" w:type="dxa"/>
            <w:tcMar>
              <w:top w:w="60" w:type="dxa"/>
              <w:left w:w="80" w:type="dxa"/>
              <w:bottom w:w="60" w:type="dxa"/>
              <w:right w:w="80" w:type="dxa"/>
            </w:tcMar>
          </w:tcPr>
          <w:p w14:paraId="422D7F63" w14:textId="77777777" w:rsidR="00723BD7" w:rsidRDefault="00000000">
            <w:r>
              <w:rPr>
                <w:color w:val="333333"/>
                <w:sz w:val="18"/>
                <w:szCs w:val="18"/>
              </w:rPr>
              <w:t>Governance (Process)</w:t>
            </w:r>
          </w:p>
        </w:tc>
        <w:tc>
          <w:tcPr>
            <w:tcW w:w="2650" w:type="dxa"/>
            <w:tcMar>
              <w:top w:w="60" w:type="dxa"/>
              <w:left w:w="80" w:type="dxa"/>
              <w:bottom w:w="60" w:type="dxa"/>
              <w:right w:w="80" w:type="dxa"/>
            </w:tcMar>
          </w:tcPr>
          <w:p w14:paraId="667CDA72" w14:textId="77777777" w:rsidR="00723BD7" w:rsidRDefault="00000000">
            <w:r>
              <w:rPr>
                <w:color w:val="333333"/>
                <w:sz w:val="18"/>
                <w:szCs w:val="18"/>
              </w:rPr>
              <w:t>Who decides and how decisions are made</w:t>
            </w:r>
          </w:p>
        </w:tc>
        <w:tc>
          <w:tcPr>
            <w:tcW w:w="2300" w:type="dxa"/>
            <w:tcMar>
              <w:top w:w="60" w:type="dxa"/>
              <w:left w:w="80" w:type="dxa"/>
              <w:bottom w:w="60" w:type="dxa"/>
              <w:right w:w="80" w:type="dxa"/>
            </w:tcMar>
          </w:tcPr>
          <w:p w14:paraId="5ED538C7" w14:textId="77777777" w:rsidR="00723BD7" w:rsidRDefault="00000000">
            <w:r>
              <w:rPr>
                <w:color w:val="333333"/>
                <w:sz w:val="18"/>
                <w:szCs w:val="18"/>
              </w:rPr>
              <w:t>Intensity / responsiveness of corrective action</w:t>
            </w:r>
          </w:p>
        </w:tc>
        <w:tc>
          <w:tcPr>
            <w:tcW w:w="1200" w:type="dxa"/>
            <w:tcMar>
              <w:top w:w="60" w:type="dxa"/>
              <w:left w:w="80" w:type="dxa"/>
              <w:bottom w:w="60" w:type="dxa"/>
              <w:right w:w="80" w:type="dxa"/>
            </w:tcMar>
          </w:tcPr>
          <w:p w14:paraId="34F023AE" w14:textId="7100C5B9" w:rsidR="00723BD7" w:rsidRDefault="00000000">
            <w:r>
              <w:rPr>
                <w:color w:val="333333"/>
                <w:sz w:val="18"/>
                <w:szCs w:val="18"/>
              </w:rPr>
              <w:t>Auxiliary (policy)</w:t>
            </w:r>
            <w:r w:rsidR="000C207E">
              <w:rPr>
                <w:color w:val="333333"/>
                <w:sz w:val="18"/>
                <w:szCs w:val="18"/>
              </w:rPr>
              <w:t xml:space="preserve"> / Converters / the equations in the model</w:t>
            </w:r>
          </w:p>
        </w:tc>
        <w:tc>
          <w:tcPr>
            <w:tcW w:w="2000" w:type="dxa"/>
            <w:tcMar>
              <w:top w:w="60" w:type="dxa"/>
              <w:left w:w="80" w:type="dxa"/>
              <w:bottom w:w="60" w:type="dxa"/>
              <w:right w:w="80" w:type="dxa"/>
            </w:tcMar>
          </w:tcPr>
          <w:p w14:paraId="7B958793" w14:textId="77777777" w:rsidR="00723BD7" w:rsidRDefault="00000000">
            <w:r>
              <w:rPr>
                <w:color w:val="333333"/>
                <w:sz w:val="18"/>
                <w:szCs w:val="18"/>
              </w:rPr>
              <w:t>governance response</w:t>
            </w:r>
          </w:p>
        </w:tc>
      </w:tr>
      <w:tr w:rsidR="00723BD7" w14:paraId="6BDE8801" w14:textId="77777777">
        <w:tblPrEx>
          <w:tblCellMar>
            <w:top w:w="0" w:type="dxa"/>
            <w:bottom w:w="0" w:type="dxa"/>
          </w:tblCellMar>
        </w:tblPrEx>
        <w:tc>
          <w:tcPr>
            <w:tcW w:w="1650" w:type="dxa"/>
            <w:tcMar>
              <w:top w:w="60" w:type="dxa"/>
              <w:left w:w="80" w:type="dxa"/>
              <w:bottom w:w="60" w:type="dxa"/>
              <w:right w:w="80" w:type="dxa"/>
            </w:tcMar>
          </w:tcPr>
          <w:p w14:paraId="4E9DC5C7" w14:textId="77777777" w:rsidR="00723BD7" w:rsidRDefault="00000000">
            <w:r>
              <w:rPr>
                <w:color w:val="333333"/>
                <w:sz w:val="18"/>
                <w:szCs w:val="18"/>
              </w:rPr>
              <w:t>Biophysical Stocks (Environment)</w:t>
            </w:r>
          </w:p>
        </w:tc>
        <w:tc>
          <w:tcPr>
            <w:tcW w:w="2650" w:type="dxa"/>
            <w:tcMar>
              <w:top w:w="60" w:type="dxa"/>
              <w:left w:w="80" w:type="dxa"/>
              <w:bottom w:w="60" w:type="dxa"/>
              <w:right w:w="80" w:type="dxa"/>
            </w:tcMar>
          </w:tcPr>
          <w:p w14:paraId="15B94A8C" w14:textId="77777777" w:rsidR="00723BD7" w:rsidRDefault="00000000">
            <w:r>
              <w:rPr>
                <w:color w:val="333333"/>
                <w:sz w:val="18"/>
                <w:szCs w:val="18"/>
              </w:rPr>
              <w:t>Natural material stocks the business draws on</w:t>
            </w:r>
          </w:p>
        </w:tc>
        <w:tc>
          <w:tcPr>
            <w:tcW w:w="2300" w:type="dxa"/>
            <w:tcMar>
              <w:top w:w="60" w:type="dxa"/>
              <w:left w:w="80" w:type="dxa"/>
              <w:bottom w:w="60" w:type="dxa"/>
              <w:right w:w="80" w:type="dxa"/>
            </w:tcMar>
          </w:tcPr>
          <w:p w14:paraId="006D9BE1" w14:textId="77777777" w:rsidR="00723BD7" w:rsidRDefault="00000000">
            <w:r>
              <w:rPr>
                <w:color w:val="333333"/>
                <w:sz w:val="18"/>
                <w:szCs w:val="18"/>
              </w:rPr>
              <w:t>Stock level; extraction rate; regeneration rate</w:t>
            </w:r>
          </w:p>
        </w:tc>
        <w:tc>
          <w:tcPr>
            <w:tcW w:w="1200" w:type="dxa"/>
            <w:tcMar>
              <w:top w:w="60" w:type="dxa"/>
              <w:left w:w="80" w:type="dxa"/>
              <w:bottom w:w="60" w:type="dxa"/>
              <w:right w:w="80" w:type="dxa"/>
            </w:tcMar>
          </w:tcPr>
          <w:p w14:paraId="0801B100" w14:textId="6FAA5854" w:rsidR="00723BD7" w:rsidRDefault="00000000">
            <w:r>
              <w:rPr>
                <w:color w:val="333333"/>
                <w:sz w:val="18"/>
                <w:szCs w:val="18"/>
              </w:rPr>
              <w:t>Stock (+2 Flows)</w:t>
            </w:r>
            <w:r w:rsidR="000C207E">
              <w:rPr>
                <w:color w:val="333333"/>
                <w:sz w:val="18"/>
                <w:szCs w:val="18"/>
              </w:rPr>
              <w:t xml:space="preserve"> / Flow</w:t>
            </w:r>
          </w:p>
        </w:tc>
        <w:tc>
          <w:tcPr>
            <w:tcW w:w="2000" w:type="dxa"/>
            <w:tcMar>
              <w:top w:w="60" w:type="dxa"/>
              <w:left w:w="80" w:type="dxa"/>
              <w:bottom w:w="60" w:type="dxa"/>
              <w:right w:w="80" w:type="dxa"/>
            </w:tcMar>
          </w:tcPr>
          <w:p w14:paraId="43F01190" w14:textId="77777777" w:rsidR="00723BD7" w:rsidRDefault="00000000">
            <w:r>
              <w:rPr>
                <w:color w:val="333333"/>
                <w:sz w:val="18"/>
                <w:szCs w:val="18"/>
              </w:rPr>
              <w:t>biophysical stock level; extraction and impact rate; regeneration rate</w:t>
            </w:r>
          </w:p>
        </w:tc>
      </w:tr>
      <w:tr w:rsidR="00723BD7" w14:paraId="4679F624" w14:textId="77777777">
        <w:tblPrEx>
          <w:tblCellMar>
            <w:top w:w="0" w:type="dxa"/>
            <w:bottom w:w="0" w:type="dxa"/>
          </w:tblCellMar>
        </w:tblPrEx>
        <w:tc>
          <w:tcPr>
            <w:tcW w:w="1650" w:type="dxa"/>
            <w:tcMar>
              <w:top w:w="60" w:type="dxa"/>
              <w:left w:w="80" w:type="dxa"/>
              <w:bottom w:w="60" w:type="dxa"/>
              <w:right w:w="80" w:type="dxa"/>
            </w:tcMar>
          </w:tcPr>
          <w:p w14:paraId="531489D8" w14:textId="77777777" w:rsidR="00723BD7" w:rsidRDefault="00000000">
            <w:r>
              <w:rPr>
                <w:color w:val="333333"/>
                <w:sz w:val="18"/>
                <w:szCs w:val="18"/>
              </w:rPr>
              <w:lastRenderedPageBreak/>
              <w:t>Ecosystem Services (Environment)</w:t>
            </w:r>
          </w:p>
        </w:tc>
        <w:tc>
          <w:tcPr>
            <w:tcW w:w="2650" w:type="dxa"/>
            <w:tcMar>
              <w:top w:w="60" w:type="dxa"/>
              <w:left w:w="80" w:type="dxa"/>
              <w:bottom w:w="60" w:type="dxa"/>
              <w:right w:w="80" w:type="dxa"/>
            </w:tcMar>
          </w:tcPr>
          <w:p w14:paraId="55F90A7E" w14:textId="77777777" w:rsidR="00723BD7" w:rsidRDefault="00000000">
            <w:r>
              <w:rPr>
                <w:color w:val="333333"/>
                <w:sz w:val="18"/>
                <w:szCs w:val="18"/>
              </w:rPr>
              <w:t>Flows nature provides that the business depends on</w:t>
            </w:r>
          </w:p>
        </w:tc>
        <w:tc>
          <w:tcPr>
            <w:tcW w:w="2300" w:type="dxa"/>
            <w:tcMar>
              <w:top w:w="60" w:type="dxa"/>
              <w:left w:w="80" w:type="dxa"/>
              <w:bottom w:w="60" w:type="dxa"/>
              <w:right w:w="80" w:type="dxa"/>
            </w:tcMar>
          </w:tcPr>
          <w:p w14:paraId="4E147A9C" w14:textId="77777777" w:rsidR="00723BD7" w:rsidRDefault="00000000">
            <w:r>
              <w:rPr>
                <w:color w:val="333333"/>
                <w:sz w:val="18"/>
                <w:szCs w:val="18"/>
              </w:rPr>
              <w:t>Available service capacity</w:t>
            </w:r>
          </w:p>
        </w:tc>
        <w:tc>
          <w:tcPr>
            <w:tcW w:w="1200" w:type="dxa"/>
            <w:tcMar>
              <w:top w:w="60" w:type="dxa"/>
              <w:left w:w="80" w:type="dxa"/>
              <w:bottom w:w="60" w:type="dxa"/>
              <w:right w:w="80" w:type="dxa"/>
            </w:tcMar>
          </w:tcPr>
          <w:p w14:paraId="02B08FA9" w14:textId="1F6A68AD" w:rsidR="00723BD7" w:rsidRDefault="00000000">
            <w:r>
              <w:rPr>
                <w:color w:val="333333"/>
                <w:sz w:val="18"/>
                <w:szCs w:val="18"/>
              </w:rPr>
              <w:t>Auxiliary</w:t>
            </w:r>
            <w:r w:rsidR="000C207E">
              <w:rPr>
                <w:color w:val="333333"/>
                <w:sz w:val="18"/>
                <w:szCs w:val="18"/>
              </w:rPr>
              <w:t xml:space="preserve"> / Stock</w:t>
            </w:r>
          </w:p>
        </w:tc>
        <w:tc>
          <w:tcPr>
            <w:tcW w:w="2000" w:type="dxa"/>
            <w:tcMar>
              <w:top w:w="60" w:type="dxa"/>
              <w:left w:w="80" w:type="dxa"/>
              <w:bottom w:w="60" w:type="dxa"/>
              <w:right w:w="80" w:type="dxa"/>
            </w:tcMar>
          </w:tcPr>
          <w:p w14:paraId="4A8409D4" w14:textId="77777777" w:rsidR="00723BD7" w:rsidRDefault="00000000">
            <w:r>
              <w:rPr>
                <w:color w:val="333333"/>
                <w:sz w:val="18"/>
                <w:szCs w:val="18"/>
              </w:rPr>
              <w:t>ecosystem service capacity</w:t>
            </w:r>
          </w:p>
        </w:tc>
      </w:tr>
      <w:tr w:rsidR="00723BD7" w14:paraId="1E0C9AAD" w14:textId="77777777">
        <w:tblPrEx>
          <w:tblCellMar>
            <w:top w:w="0" w:type="dxa"/>
            <w:bottom w:w="0" w:type="dxa"/>
          </w:tblCellMar>
        </w:tblPrEx>
        <w:tc>
          <w:tcPr>
            <w:tcW w:w="1650" w:type="dxa"/>
            <w:tcMar>
              <w:top w:w="60" w:type="dxa"/>
              <w:left w:w="80" w:type="dxa"/>
              <w:bottom w:w="60" w:type="dxa"/>
              <w:right w:w="80" w:type="dxa"/>
            </w:tcMar>
          </w:tcPr>
          <w:p w14:paraId="4FE491AD" w14:textId="77777777" w:rsidR="00723BD7" w:rsidRDefault="00000000">
            <w:r>
              <w:rPr>
                <w:color w:val="333333"/>
                <w:sz w:val="18"/>
                <w:szCs w:val="18"/>
              </w:rPr>
              <w:t>Costs (Outcomes)</w:t>
            </w:r>
          </w:p>
        </w:tc>
        <w:tc>
          <w:tcPr>
            <w:tcW w:w="2650" w:type="dxa"/>
            <w:tcMar>
              <w:top w:w="60" w:type="dxa"/>
              <w:left w:w="80" w:type="dxa"/>
              <w:bottom w:w="60" w:type="dxa"/>
              <w:right w:w="80" w:type="dxa"/>
            </w:tcMar>
          </w:tcPr>
          <w:p w14:paraId="0EB58872" w14:textId="77777777" w:rsidR="00723BD7" w:rsidRDefault="00000000">
            <w:r>
              <w:rPr>
                <w:color w:val="333333"/>
                <w:sz w:val="18"/>
                <w:szCs w:val="18"/>
              </w:rPr>
              <w:t>Tri-profit negative outcomes in Econ/Soc/Eco units</w:t>
            </w:r>
          </w:p>
        </w:tc>
        <w:tc>
          <w:tcPr>
            <w:tcW w:w="2300" w:type="dxa"/>
            <w:tcMar>
              <w:top w:w="60" w:type="dxa"/>
              <w:left w:w="80" w:type="dxa"/>
              <w:bottom w:w="60" w:type="dxa"/>
              <w:right w:w="80" w:type="dxa"/>
            </w:tcMar>
          </w:tcPr>
          <w:p w14:paraId="654034C9" w14:textId="77777777" w:rsidR="00723BD7" w:rsidRDefault="00000000">
            <w:r>
              <w:rPr>
                <w:color w:val="333333"/>
                <w:sz w:val="18"/>
                <w:szCs w:val="18"/>
              </w:rPr>
              <w:t>Incurred costs per dimension</w:t>
            </w:r>
          </w:p>
        </w:tc>
        <w:tc>
          <w:tcPr>
            <w:tcW w:w="1200" w:type="dxa"/>
            <w:tcMar>
              <w:top w:w="60" w:type="dxa"/>
              <w:left w:w="80" w:type="dxa"/>
              <w:bottom w:w="60" w:type="dxa"/>
              <w:right w:w="80" w:type="dxa"/>
            </w:tcMar>
          </w:tcPr>
          <w:p w14:paraId="6B35E5C6" w14:textId="4D08A09E" w:rsidR="00723BD7" w:rsidRDefault="00000000">
            <w:r>
              <w:rPr>
                <w:color w:val="333333"/>
                <w:sz w:val="18"/>
                <w:szCs w:val="18"/>
              </w:rPr>
              <w:t>Auxiliary</w:t>
            </w:r>
            <w:r w:rsidR="000C207E">
              <w:rPr>
                <w:color w:val="333333"/>
                <w:sz w:val="18"/>
                <w:szCs w:val="18"/>
              </w:rPr>
              <w:t xml:space="preserve"> / Stock</w:t>
            </w:r>
          </w:p>
        </w:tc>
        <w:tc>
          <w:tcPr>
            <w:tcW w:w="2000" w:type="dxa"/>
            <w:tcMar>
              <w:top w:w="60" w:type="dxa"/>
              <w:left w:w="80" w:type="dxa"/>
              <w:bottom w:w="60" w:type="dxa"/>
              <w:right w:w="80" w:type="dxa"/>
            </w:tcMar>
          </w:tcPr>
          <w:p w14:paraId="0DBCC635" w14:textId="77777777" w:rsidR="00723BD7" w:rsidRDefault="00000000">
            <w:r>
              <w:rPr>
                <w:color w:val="333333"/>
                <w:sz w:val="18"/>
                <w:szCs w:val="18"/>
              </w:rPr>
              <w:t>incurred tri-profit costs</w:t>
            </w:r>
          </w:p>
        </w:tc>
      </w:tr>
      <w:tr w:rsidR="00723BD7" w14:paraId="6490B0A9" w14:textId="77777777">
        <w:tblPrEx>
          <w:tblCellMar>
            <w:top w:w="0" w:type="dxa"/>
            <w:bottom w:w="0" w:type="dxa"/>
          </w:tblCellMar>
        </w:tblPrEx>
        <w:tc>
          <w:tcPr>
            <w:tcW w:w="1650" w:type="dxa"/>
            <w:tcMar>
              <w:top w:w="60" w:type="dxa"/>
              <w:left w:w="80" w:type="dxa"/>
              <w:bottom w:w="60" w:type="dxa"/>
              <w:right w:w="80" w:type="dxa"/>
            </w:tcMar>
          </w:tcPr>
          <w:p w14:paraId="649693E5" w14:textId="77777777" w:rsidR="00723BD7" w:rsidRDefault="00000000">
            <w:r>
              <w:rPr>
                <w:color w:val="333333"/>
                <w:sz w:val="18"/>
                <w:szCs w:val="18"/>
              </w:rPr>
              <w:t>Benefits (Outcomes)</w:t>
            </w:r>
          </w:p>
        </w:tc>
        <w:tc>
          <w:tcPr>
            <w:tcW w:w="2650" w:type="dxa"/>
            <w:tcMar>
              <w:top w:w="60" w:type="dxa"/>
              <w:left w:w="80" w:type="dxa"/>
              <w:bottom w:w="60" w:type="dxa"/>
              <w:right w:w="80" w:type="dxa"/>
            </w:tcMar>
          </w:tcPr>
          <w:p w14:paraId="7FB4A91B" w14:textId="77777777" w:rsidR="00723BD7" w:rsidRDefault="00000000">
            <w:r>
              <w:rPr>
                <w:color w:val="333333"/>
                <w:sz w:val="18"/>
                <w:szCs w:val="18"/>
              </w:rPr>
              <w:t>Tri-profit positive outcomes in Econ/Soc/Eco units</w:t>
            </w:r>
          </w:p>
        </w:tc>
        <w:tc>
          <w:tcPr>
            <w:tcW w:w="2300" w:type="dxa"/>
            <w:tcMar>
              <w:top w:w="60" w:type="dxa"/>
              <w:left w:w="80" w:type="dxa"/>
              <w:bottom w:w="60" w:type="dxa"/>
              <w:right w:w="80" w:type="dxa"/>
            </w:tcMar>
          </w:tcPr>
          <w:p w14:paraId="50C866BF" w14:textId="77777777" w:rsidR="00723BD7" w:rsidRDefault="00000000">
            <w:r>
              <w:rPr>
                <w:color w:val="333333"/>
                <w:sz w:val="18"/>
                <w:szCs w:val="18"/>
              </w:rPr>
              <w:t>Realized benefits per dimension</w:t>
            </w:r>
          </w:p>
        </w:tc>
        <w:tc>
          <w:tcPr>
            <w:tcW w:w="1200" w:type="dxa"/>
            <w:tcMar>
              <w:top w:w="60" w:type="dxa"/>
              <w:left w:w="80" w:type="dxa"/>
              <w:bottom w:w="60" w:type="dxa"/>
              <w:right w:w="80" w:type="dxa"/>
            </w:tcMar>
          </w:tcPr>
          <w:p w14:paraId="331A83A1" w14:textId="77777777" w:rsidR="00723BD7" w:rsidRDefault="00000000">
            <w:r>
              <w:rPr>
                <w:color w:val="333333"/>
                <w:sz w:val="18"/>
                <w:szCs w:val="18"/>
              </w:rPr>
              <w:t>Stock / Aux</w:t>
            </w:r>
          </w:p>
        </w:tc>
        <w:tc>
          <w:tcPr>
            <w:tcW w:w="2000" w:type="dxa"/>
            <w:tcMar>
              <w:top w:w="60" w:type="dxa"/>
              <w:left w:w="80" w:type="dxa"/>
              <w:bottom w:w="60" w:type="dxa"/>
              <w:right w:w="80" w:type="dxa"/>
            </w:tcMar>
          </w:tcPr>
          <w:p w14:paraId="1B3893F4" w14:textId="77777777" w:rsidR="00723BD7" w:rsidRDefault="00000000">
            <w:r>
              <w:rPr>
                <w:color w:val="333333"/>
                <w:sz w:val="18"/>
                <w:szCs w:val="18"/>
              </w:rPr>
              <w:t>realized tri-profit benefits</w:t>
            </w:r>
          </w:p>
        </w:tc>
      </w:tr>
      <w:tr w:rsidR="00723BD7" w14:paraId="6B91A99A" w14:textId="77777777">
        <w:tblPrEx>
          <w:tblCellMar>
            <w:top w:w="0" w:type="dxa"/>
            <w:bottom w:w="0" w:type="dxa"/>
          </w:tblCellMar>
        </w:tblPrEx>
        <w:tc>
          <w:tcPr>
            <w:tcW w:w="1650" w:type="dxa"/>
            <w:tcMar>
              <w:top w:w="60" w:type="dxa"/>
              <w:left w:w="80" w:type="dxa"/>
              <w:bottom w:w="60" w:type="dxa"/>
              <w:right w:w="80" w:type="dxa"/>
            </w:tcMar>
          </w:tcPr>
          <w:p w14:paraId="1DD62601" w14:textId="77777777" w:rsidR="00723BD7" w:rsidRDefault="00000000">
            <w:r>
              <w:rPr>
                <w:color w:val="333333"/>
                <w:sz w:val="18"/>
                <w:szCs w:val="18"/>
              </w:rPr>
              <w:t>Goals (Outcomes)</w:t>
            </w:r>
          </w:p>
        </w:tc>
        <w:tc>
          <w:tcPr>
            <w:tcW w:w="2650" w:type="dxa"/>
            <w:tcMar>
              <w:top w:w="60" w:type="dxa"/>
              <w:left w:w="80" w:type="dxa"/>
              <w:bottom w:w="60" w:type="dxa"/>
              <w:right w:w="80" w:type="dxa"/>
            </w:tcMar>
          </w:tcPr>
          <w:p w14:paraId="3B7CA957" w14:textId="77777777" w:rsidR="00723BD7" w:rsidRDefault="00000000">
            <w:r>
              <w:rPr>
                <w:color w:val="333333"/>
                <w:sz w:val="18"/>
                <w:szCs w:val="18"/>
              </w:rPr>
              <w:t>Stakeholder-agreed success definition with indicators and targets</w:t>
            </w:r>
          </w:p>
        </w:tc>
        <w:tc>
          <w:tcPr>
            <w:tcW w:w="2300" w:type="dxa"/>
            <w:tcMar>
              <w:top w:w="60" w:type="dxa"/>
              <w:left w:w="80" w:type="dxa"/>
              <w:bottom w:w="60" w:type="dxa"/>
              <w:right w:w="80" w:type="dxa"/>
            </w:tcMar>
          </w:tcPr>
          <w:p w14:paraId="38793231" w14:textId="77777777" w:rsidR="00723BD7" w:rsidRDefault="00000000">
            <w:r>
              <w:rPr>
                <w:color w:val="333333"/>
                <w:sz w:val="18"/>
                <w:szCs w:val="18"/>
              </w:rPr>
              <w:t>Gap between target and actual</w:t>
            </w:r>
          </w:p>
        </w:tc>
        <w:tc>
          <w:tcPr>
            <w:tcW w:w="1200" w:type="dxa"/>
            <w:tcMar>
              <w:top w:w="60" w:type="dxa"/>
              <w:left w:w="80" w:type="dxa"/>
              <w:bottom w:w="60" w:type="dxa"/>
              <w:right w:w="80" w:type="dxa"/>
            </w:tcMar>
          </w:tcPr>
          <w:p w14:paraId="1C875580" w14:textId="5F069A20" w:rsidR="00723BD7" w:rsidRDefault="00000000">
            <w:r>
              <w:rPr>
                <w:color w:val="333333"/>
                <w:sz w:val="18"/>
                <w:szCs w:val="18"/>
              </w:rPr>
              <w:t>Auxiliary</w:t>
            </w:r>
            <w:r w:rsidR="000C207E">
              <w:rPr>
                <w:color w:val="333333"/>
                <w:sz w:val="18"/>
                <w:szCs w:val="18"/>
              </w:rPr>
              <w:t xml:space="preserve"> </w:t>
            </w:r>
          </w:p>
        </w:tc>
        <w:tc>
          <w:tcPr>
            <w:tcW w:w="2000" w:type="dxa"/>
            <w:tcMar>
              <w:top w:w="60" w:type="dxa"/>
              <w:left w:w="80" w:type="dxa"/>
              <w:bottom w:w="60" w:type="dxa"/>
              <w:right w:w="80" w:type="dxa"/>
            </w:tcMar>
          </w:tcPr>
          <w:p w14:paraId="0EE7BEDC" w14:textId="77777777" w:rsidR="00723BD7" w:rsidRDefault="00000000">
            <w:r>
              <w:rPr>
                <w:color w:val="333333"/>
                <w:sz w:val="18"/>
                <w:szCs w:val="18"/>
              </w:rPr>
              <w:t>goal attainment gap</w:t>
            </w:r>
          </w:p>
        </w:tc>
      </w:tr>
      <w:tr w:rsidR="00723BD7" w14:paraId="0C01D9E2" w14:textId="77777777">
        <w:tblPrEx>
          <w:tblCellMar>
            <w:top w:w="0" w:type="dxa"/>
            <w:bottom w:w="0" w:type="dxa"/>
          </w:tblCellMar>
        </w:tblPrEx>
        <w:tc>
          <w:tcPr>
            <w:tcW w:w="1650" w:type="dxa"/>
            <w:tcMar>
              <w:top w:w="60" w:type="dxa"/>
              <w:left w:w="80" w:type="dxa"/>
              <w:bottom w:w="60" w:type="dxa"/>
              <w:right w:w="80" w:type="dxa"/>
            </w:tcMar>
          </w:tcPr>
          <w:p w14:paraId="4E24752D" w14:textId="77777777" w:rsidR="00723BD7" w:rsidRDefault="00000000">
            <w:commentRangeStart w:id="11"/>
            <w:r>
              <w:rPr>
                <w:color w:val="333333"/>
                <w:sz w:val="18"/>
                <w:szCs w:val="18"/>
              </w:rPr>
              <w:t>Society context layer</w:t>
            </w:r>
          </w:p>
        </w:tc>
        <w:tc>
          <w:tcPr>
            <w:tcW w:w="2650" w:type="dxa"/>
            <w:tcMar>
              <w:top w:w="60" w:type="dxa"/>
              <w:left w:w="80" w:type="dxa"/>
              <w:bottom w:w="60" w:type="dxa"/>
              <w:right w:w="80" w:type="dxa"/>
            </w:tcMar>
          </w:tcPr>
          <w:p w14:paraId="67B01F7B" w14:textId="77777777" w:rsidR="00723BD7" w:rsidRDefault="00000000">
            <w:r>
              <w:rPr>
                <w:color w:val="333333"/>
                <w:sz w:val="18"/>
                <w:szCs w:val="18"/>
              </w:rPr>
              <w:t>The social system the economy is embedded in</w:t>
            </w:r>
          </w:p>
        </w:tc>
        <w:tc>
          <w:tcPr>
            <w:tcW w:w="2300" w:type="dxa"/>
            <w:tcMar>
              <w:top w:w="60" w:type="dxa"/>
              <w:left w:w="80" w:type="dxa"/>
              <w:bottom w:w="60" w:type="dxa"/>
              <w:right w:w="80" w:type="dxa"/>
            </w:tcMar>
          </w:tcPr>
          <w:p w14:paraId="6AB48D3E" w14:textId="77777777" w:rsidR="00723BD7" w:rsidRDefault="00000000">
            <w:r>
              <w:rPr>
                <w:color w:val="333333"/>
                <w:sz w:val="18"/>
                <w:szCs w:val="18"/>
              </w:rPr>
              <w:t>Legitimacy granted to the enterprise</w:t>
            </w:r>
          </w:p>
        </w:tc>
        <w:tc>
          <w:tcPr>
            <w:tcW w:w="1200" w:type="dxa"/>
            <w:tcMar>
              <w:top w:w="60" w:type="dxa"/>
              <w:left w:w="80" w:type="dxa"/>
              <w:bottom w:w="60" w:type="dxa"/>
              <w:right w:w="80" w:type="dxa"/>
            </w:tcMar>
          </w:tcPr>
          <w:p w14:paraId="2B9B8261" w14:textId="3E6A8318" w:rsidR="00723BD7" w:rsidRDefault="00000000">
            <w:r>
              <w:rPr>
                <w:color w:val="333333"/>
                <w:sz w:val="18"/>
                <w:szCs w:val="18"/>
              </w:rPr>
              <w:t>Auxiliary</w:t>
            </w:r>
            <w:r w:rsidR="000C207E">
              <w:rPr>
                <w:color w:val="333333"/>
                <w:sz w:val="18"/>
                <w:szCs w:val="18"/>
              </w:rPr>
              <w:t xml:space="preserve"> / Model Boundary</w:t>
            </w:r>
          </w:p>
        </w:tc>
        <w:tc>
          <w:tcPr>
            <w:tcW w:w="2000" w:type="dxa"/>
            <w:tcMar>
              <w:top w:w="60" w:type="dxa"/>
              <w:left w:w="80" w:type="dxa"/>
              <w:bottom w:w="60" w:type="dxa"/>
              <w:right w:w="80" w:type="dxa"/>
            </w:tcMar>
          </w:tcPr>
          <w:p w14:paraId="07E58A93" w14:textId="77777777" w:rsidR="00723BD7" w:rsidRDefault="00000000">
            <w:r>
              <w:rPr>
                <w:color w:val="333333"/>
                <w:sz w:val="18"/>
                <w:szCs w:val="18"/>
              </w:rPr>
              <w:t>societal legitimacy</w:t>
            </w:r>
            <w:commentRangeEnd w:id="11"/>
            <w:r w:rsidR="000C207E">
              <w:rPr>
                <w:rStyle w:val="CommentReference"/>
                <w:sz w:val="22"/>
                <w:szCs w:val="22"/>
              </w:rPr>
              <w:commentReference w:id="11"/>
            </w:r>
          </w:p>
        </w:tc>
      </w:tr>
    </w:tbl>
    <w:p w14:paraId="3E107A95" w14:textId="77777777" w:rsidR="00723BD7" w:rsidRDefault="00723BD7">
      <w:pPr>
        <w:spacing w:after="120"/>
      </w:pPr>
    </w:p>
    <w:p w14:paraId="193B8AE9" w14:textId="77777777" w:rsidR="00723BD7" w:rsidRDefault="00000000">
      <w:pPr>
        <w:spacing w:after="160" w:line="276" w:lineRule="auto"/>
      </w:pPr>
      <w:r>
        <w:t>Two conventions embedded in the table: first, one block can legitimately yield several attributes (Biophysical Stocks yields a stock and its two governing flows) — but every attribute anchors to exactly one block. Second, the Environment and Society context layers contribute variables too; a CLD that omits them cannot represent a strongly sustainable business model, only its economic core.</w:t>
      </w:r>
    </w:p>
    <w:p w14:paraId="1C4CCBE3" w14:textId="77777777" w:rsidR="00723BD7" w:rsidRDefault="00000000">
      <w:pPr>
        <w:pStyle w:val="Heading1"/>
        <w:spacing w:before="320" w:after="160"/>
      </w:pPr>
      <w:bookmarkStart w:id="12" w:name="_Toc233908308"/>
      <w:r>
        <w:rPr>
          <w:b/>
          <w:bCs/>
          <w:color w:val="4D784E"/>
          <w:sz w:val="30"/>
          <w:szCs w:val="30"/>
        </w:rPr>
        <w:t>8. The Generic FBMC-Derived CLD</w:t>
      </w:r>
      <w:bookmarkEnd w:id="12"/>
    </w:p>
    <w:p w14:paraId="493682A1" w14:textId="77777777" w:rsidR="00723BD7" w:rsidRDefault="00000000">
      <w:pPr>
        <w:spacing w:after="160" w:line="276" w:lineRule="auto"/>
      </w:pPr>
      <w:r>
        <w:t>Connecting the generic variables with their natural causal links produces a generic feedback structure — drawn on page 4 of the draw.io file — that is recognizable as a set of classic system archetypes, now each anchored to canvas blocks. Any concrete FBMC instantiation should reproduce a subset (usually most) of these loops under project-specific names: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4300"/>
        <w:gridCol w:w="2400"/>
      </w:tblGrid>
      <w:tr w:rsidR="00723BD7" w14:paraId="4B3FD386" w14:textId="77777777">
        <w:tblPrEx>
          <w:tblCellMar>
            <w:top w:w="0" w:type="dxa"/>
            <w:bottom w:w="0" w:type="dxa"/>
          </w:tblCellMar>
        </w:tblPrEx>
        <w:trPr>
          <w:tblHeader/>
        </w:trPr>
        <w:tc>
          <w:tcPr>
            <w:tcW w:w="700" w:type="dxa"/>
            <w:shd w:val="clear" w:color="auto" w:fill="4D784E"/>
            <w:tcMar>
              <w:top w:w="60" w:type="dxa"/>
              <w:left w:w="80" w:type="dxa"/>
              <w:bottom w:w="60" w:type="dxa"/>
              <w:right w:w="80" w:type="dxa"/>
            </w:tcMar>
          </w:tcPr>
          <w:p w14:paraId="4B3E390C" w14:textId="77777777" w:rsidR="00723BD7" w:rsidRDefault="00000000">
            <w:r>
              <w:rPr>
                <w:b/>
                <w:bCs/>
                <w:color w:val="FFFFFF"/>
                <w:sz w:val="18"/>
                <w:szCs w:val="18"/>
              </w:rPr>
              <w:t>Loop</w:t>
            </w:r>
          </w:p>
        </w:tc>
        <w:tc>
          <w:tcPr>
            <w:tcW w:w="2100" w:type="dxa"/>
            <w:shd w:val="clear" w:color="auto" w:fill="4D784E"/>
            <w:tcMar>
              <w:top w:w="60" w:type="dxa"/>
              <w:left w:w="80" w:type="dxa"/>
              <w:bottom w:w="60" w:type="dxa"/>
              <w:right w:w="80" w:type="dxa"/>
            </w:tcMar>
          </w:tcPr>
          <w:p w14:paraId="2D1F640B" w14:textId="77777777" w:rsidR="00723BD7" w:rsidRDefault="00000000">
            <w:r>
              <w:rPr>
                <w:b/>
                <w:bCs/>
                <w:color w:val="FFFFFF"/>
                <w:sz w:val="18"/>
                <w:szCs w:val="18"/>
              </w:rPr>
              <w:t>Name</w:t>
            </w:r>
          </w:p>
        </w:tc>
        <w:tc>
          <w:tcPr>
            <w:tcW w:w="4300" w:type="dxa"/>
            <w:shd w:val="clear" w:color="auto" w:fill="4D784E"/>
            <w:tcMar>
              <w:top w:w="60" w:type="dxa"/>
              <w:left w:w="80" w:type="dxa"/>
              <w:bottom w:w="60" w:type="dxa"/>
              <w:right w:w="80" w:type="dxa"/>
            </w:tcMar>
          </w:tcPr>
          <w:p w14:paraId="284DB5F1" w14:textId="77777777" w:rsidR="00723BD7" w:rsidRDefault="00000000">
            <w:r>
              <w:rPr>
                <w:b/>
                <w:bCs/>
                <w:color w:val="FFFFFF"/>
                <w:sz w:val="18"/>
                <w:szCs w:val="18"/>
              </w:rPr>
              <w:t>Chain (abbreviated)</w:t>
            </w:r>
          </w:p>
        </w:tc>
        <w:tc>
          <w:tcPr>
            <w:tcW w:w="2400" w:type="dxa"/>
            <w:shd w:val="clear" w:color="auto" w:fill="4D784E"/>
            <w:tcMar>
              <w:top w:w="60" w:type="dxa"/>
              <w:left w:w="80" w:type="dxa"/>
              <w:bottom w:w="60" w:type="dxa"/>
              <w:right w:w="80" w:type="dxa"/>
            </w:tcMar>
          </w:tcPr>
          <w:p w14:paraId="48499E04" w14:textId="77777777" w:rsidR="00723BD7" w:rsidRDefault="00000000">
            <w:r>
              <w:rPr>
                <w:b/>
                <w:bCs/>
                <w:color w:val="FFFFFF"/>
                <w:sz w:val="18"/>
                <w:szCs w:val="18"/>
              </w:rPr>
              <w:t>Archetype</w:t>
            </w:r>
          </w:p>
        </w:tc>
      </w:tr>
      <w:tr w:rsidR="00723BD7" w14:paraId="6045F383" w14:textId="77777777">
        <w:tblPrEx>
          <w:tblCellMar>
            <w:top w:w="0" w:type="dxa"/>
            <w:bottom w:w="0" w:type="dxa"/>
          </w:tblCellMar>
        </w:tblPrEx>
        <w:tc>
          <w:tcPr>
            <w:tcW w:w="700" w:type="dxa"/>
            <w:tcMar>
              <w:top w:w="60" w:type="dxa"/>
              <w:left w:w="80" w:type="dxa"/>
              <w:bottom w:w="60" w:type="dxa"/>
              <w:right w:w="80" w:type="dxa"/>
            </w:tcMar>
          </w:tcPr>
          <w:p w14:paraId="6AA28DE0" w14:textId="77777777" w:rsidR="00723BD7" w:rsidRDefault="00000000">
            <w:r>
              <w:rPr>
                <w:color w:val="333333"/>
                <w:sz w:val="18"/>
                <w:szCs w:val="18"/>
              </w:rPr>
              <w:t>R1</w:t>
            </w:r>
          </w:p>
        </w:tc>
        <w:tc>
          <w:tcPr>
            <w:tcW w:w="2100" w:type="dxa"/>
            <w:tcMar>
              <w:top w:w="60" w:type="dxa"/>
              <w:left w:w="80" w:type="dxa"/>
              <w:bottom w:w="60" w:type="dxa"/>
              <w:right w:w="80" w:type="dxa"/>
            </w:tcMar>
          </w:tcPr>
          <w:p w14:paraId="7929AE2D" w14:textId="77777777" w:rsidR="00723BD7" w:rsidRDefault="00000000">
            <w:r>
              <w:rPr>
                <w:color w:val="333333"/>
                <w:sz w:val="18"/>
                <w:szCs w:val="18"/>
              </w:rPr>
              <w:t>Value engagement engine</w:t>
            </w:r>
          </w:p>
        </w:tc>
        <w:tc>
          <w:tcPr>
            <w:tcW w:w="4300" w:type="dxa"/>
            <w:tcMar>
              <w:top w:w="60" w:type="dxa"/>
              <w:left w:w="80" w:type="dxa"/>
              <w:bottom w:w="60" w:type="dxa"/>
              <w:right w:w="80" w:type="dxa"/>
            </w:tcMar>
          </w:tcPr>
          <w:p w14:paraId="4F0BF274" w14:textId="77777777" w:rsidR="00723BD7" w:rsidRDefault="00000000">
            <w:r>
              <w:rPr>
                <w:color w:val="333333"/>
                <w:sz w:val="18"/>
                <w:szCs w:val="18"/>
              </w:rPr>
              <w:t>stakeholder base → activity throughput → value co-creation → need satisfaction → relationship → engagement → base</w:t>
            </w:r>
          </w:p>
        </w:tc>
        <w:tc>
          <w:tcPr>
            <w:tcW w:w="2400" w:type="dxa"/>
            <w:tcMar>
              <w:top w:w="60" w:type="dxa"/>
              <w:left w:w="80" w:type="dxa"/>
              <w:bottom w:w="60" w:type="dxa"/>
              <w:right w:w="80" w:type="dxa"/>
            </w:tcMar>
          </w:tcPr>
          <w:p w14:paraId="18611A98" w14:textId="77777777" w:rsidR="00723BD7" w:rsidRDefault="00000000">
            <w:r>
              <w:rPr>
                <w:color w:val="333333"/>
                <w:sz w:val="18"/>
                <w:szCs w:val="18"/>
              </w:rPr>
              <w:t>Growth engine</w:t>
            </w:r>
          </w:p>
        </w:tc>
      </w:tr>
      <w:tr w:rsidR="00723BD7" w14:paraId="2740966E" w14:textId="77777777">
        <w:tblPrEx>
          <w:tblCellMar>
            <w:top w:w="0" w:type="dxa"/>
            <w:bottom w:w="0" w:type="dxa"/>
          </w:tblCellMar>
        </w:tblPrEx>
        <w:tc>
          <w:tcPr>
            <w:tcW w:w="700" w:type="dxa"/>
            <w:tcMar>
              <w:top w:w="60" w:type="dxa"/>
              <w:left w:w="80" w:type="dxa"/>
              <w:bottom w:w="60" w:type="dxa"/>
              <w:right w:w="80" w:type="dxa"/>
            </w:tcMar>
          </w:tcPr>
          <w:p w14:paraId="769BCE90" w14:textId="77777777" w:rsidR="00723BD7" w:rsidRDefault="00000000">
            <w:r>
              <w:rPr>
                <w:color w:val="333333"/>
                <w:sz w:val="18"/>
                <w:szCs w:val="18"/>
              </w:rPr>
              <w:t>B1</w:t>
            </w:r>
          </w:p>
        </w:tc>
        <w:tc>
          <w:tcPr>
            <w:tcW w:w="2100" w:type="dxa"/>
            <w:tcMar>
              <w:top w:w="60" w:type="dxa"/>
              <w:left w:w="80" w:type="dxa"/>
              <w:bottom w:w="60" w:type="dxa"/>
              <w:right w:w="80" w:type="dxa"/>
            </w:tcMar>
          </w:tcPr>
          <w:p w14:paraId="525072AE" w14:textId="77777777" w:rsidR="00723BD7" w:rsidRDefault="00000000">
            <w:r>
              <w:rPr>
                <w:color w:val="333333"/>
                <w:sz w:val="18"/>
                <w:szCs w:val="18"/>
              </w:rPr>
              <w:t>Actor pool saturation</w:t>
            </w:r>
          </w:p>
        </w:tc>
        <w:tc>
          <w:tcPr>
            <w:tcW w:w="4300" w:type="dxa"/>
            <w:tcMar>
              <w:top w:w="60" w:type="dxa"/>
              <w:left w:w="80" w:type="dxa"/>
              <w:bottom w:w="60" w:type="dxa"/>
              <w:right w:w="80" w:type="dxa"/>
            </w:tcMar>
          </w:tcPr>
          <w:p w14:paraId="734C6D87" w14:textId="77777777" w:rsidR="00723BD7" w:rsidRDefault="00000000">
            <w:r>
              <w:rPr>
                <w:color w:val="333333"/>
                <w:sz w:val="18"/>
                <w:szCs w:val="18"/>
              </w:rPr>
              <w:t>base −→ addressable pool → engagement → base</w:t>
            </w:r>
          </w:p>
        </w:tc>
        <w:tc>
          <w:tcPr>
            <w:tcW w:w="2400" w:type="dxa"/>
            <w:tcMar>
              <w:top w:w="60" w:type="dxa"/>
              <w:left w:w="80" w:type="dxa"/>
              <w:bottom w:w="60" w:type="dxa"/>
              <w:right w:w="80" w:type="dxa"/>
            </w:tcMar>
          </w:tcPr>
          <w:p w14:paraId="5612B899" w14:textId="77777777" w:rsidR="00723BD7" w:rsidRDefault="00000000">
            <w:r>
              <w:rPr>
                <w:color w:val="333333"/>
                <w:sz w:val="18"/>
                <w:szCs w:val="18"/>
              </w:rPr>
              <w:t>Limits to growth (market)</w:t>
            </w:r>
          </w:p>
        </w:tc>
      </w:tr>
      <w:tr w:rsidR="00723BD7" w14:paraId="6F01E91B" w14:textId="77777777">
        <w:tblPrEx>
          <w:tblCellMar>
            <w:top w:w="0" w:type="dxa"/>
            <w:bottom w:w="0" w:type="dxa"/>
          </w:tblCellMar>
        </w:tblPrEx>
        <w:tc>
          <w:tcPr>
            <w:tcW w:w="700" w:type="dxa"/>
            <w:tcMar>
              <w:top w:w="60" w:type="dxa"/>
              <w:left w:w="80" w:type="dxa"/>
              <w:bottom w:w="60" w:type="dxa"/>
              <w:right w:w="80" w:type="dxa"/>
            </w:tcMar>
          </w:tcPr>
          <w:p w14:paraId="73D7D36C" w14:textId="77777777" w:rsidR="00723BD7" w:rsidRDefault="00000000">
            <w:r>
              <w:rPr>
                <w:color w:val="333333"/>
                <w:sz w:val="18"/>
                <w:szCs w:val="18"/>
              </w:rPr>
              <w:t>R2</w:t>
            </w:r>
          </w:p>
        </w:tc>
        <w:tc>
          <w:tcPr>
            <w:tcW w:w="2100" w:type="dxa"/>
            <w:tcMar>
              <w:top w:w="60" w:type="dxa"/>
              <w:left w:w="80" w:type="dxa"/>
              <w:bottom w:w="60" w:type="dxa"/>
              <w:right w:w="80" w:type="dxa"/>
            </w:tcMar>
          </w:tcPr>
          <w:p w14:paraId="39D6D1CB" w14:textId="77777777" w:rsidR="00723BD7" w:rsidRDefault="00000000">
            <w:r>
              <w:rPr>
                <w:color w:val="333333"/>
                <w:sz w:val="18"/>
                <w:szCs w:val="18"/>
              </w:rPr>
              <w:t>Capability reinvestment</w:t>
            </w:r>
          </w:p>
        </w:tc>
        <w:tc>
          <w:tcPr>
            <w:tcW w:w="4300" w:type="dxa"/>
            <w:tcMar>
              <w:top w:w="60" w:type="dxa"/>
              <w:left w:w="80" w:type="dxa"/>
              <w:bottom w:w="60" w:type="dxa"/>
              <w:right w:w="80" w:type="dxa"/>
            </w:tcMar>
          </w:tcPr>
          <w:p w14:paraId="013B2075" w14:textId="77777777" w:rsidR="00723BD7" w:rsidRDefault="00000000">
            <w:r>
              <w:rPr>
                <w:color w:val="333333"/>
                <w:sz w:val="18"/>
                <w:szCs w:val="18"/>
              </w:rPr>
              <w:t>base → resources → capacity → delivery quality → satisfaction → … → base</w:t>
            </w:r>
          </w:p>
        </w:tc>
        <w:tc>
          <w:tcPr>
            <w:tcW w:w="2400" w:type="dxa"/>
            <w:tcMar>
              <w:top w:w="60" w:type="dxa"/>
              <w:left w:w="80" w:type="dxa"/>
              <w:bottom w:w="60" w:type="dxa"/>
              <w:right w:w="80" w:type="dxa"/>
            </w:tcMar>
          </w:tcPr>
          <w:p w14:paraId="5458D576" w14:textId="77777777" w:rsidR="00723BD7" w:rsidRDefault="00000000">
            <w:r>
              <w:rPr>
                <w:color w:val="333333"/>
                <w:sz w:val="18"/>
                <w:szCs w:val="18"/>
              </w:rPr>
              <w:t>Investment engine</w:t>
            </w:r>
          </w:p>
        </w:tc>
      </w:tr>
      <w:tr w:rsidR="00723BD7" w14:paraId="0E032DFB" w14:textId="77777777">
        <w:tblPrEx>
          <w:tblCellMar>
            <w:top w:w="0" w:type="dxa"/>
            <w:bottom w:w="0" w:type="dxa"/>
          </w:tblCellMar>
        </w:tblPrEx>
        <w:tc>
          <w:tcPr>
            <w:tcW w:w="700" w:type="dxa"/>
            <w:tcMar>
              <w:top w:w="60" w:type="dxa"/>
              <w:left w:w="80" w:type="dxa"/>
              <w:bottom w:w="60" w:type="dxa"/>
              <w:right w:w="80" w:type="dxa"/>
            </w:tcMar>
          </w:tcPr>
          <w:p w14:paraId="3758A2ED" w14:textId="77777777" w:rsidR="00723BD7" w:rsidRDefault="00000000">
            <w:r>
              <w:rPr>
                <w:color w:val="333333"/>
                <w:sz w:val="18"/>
                <w:szCs w:val="18"/>
              </w:rPr>
              <w:t>B2</w:t>
            </w:r>
          </w:p>
        </w:tc>
        <w:tc>
          <w:tcPr>
            <w:tcW w:w="2100" w:type="dxa"/>
            <w:tcMar>
              <w:top w:w="60" w:type="dxa"/>
              <w:left w:w="80" w:type="dxa"/>
              <w:bottom w:w="60" w:type="dxa"/>
              <w:right w:w="80" w:type="dxa"/>
            </w:tcMar>
          </w:tcPr>
          <w:p w14:paraId="5E6F2A26" w14:textId="77777777" w:rsidR="00723BD7" w:rsidRDefault="00000000">
            <w:r>
              <w:rPr>
                <w:color w:val="333333"/>
                <w:sz w:val="18"/>
                <w:szCs w:val="18"/>
              </w:rPr>
              <w:t>Service overload</w:t>
            </w:r>
          </w:p>
        </w:tc>
        <w:tc>
          <w:tcPr>
            <w:tcW w:w="4300" w:type="dxa"/>
            <w:tcMar>
              <w:top w:w="60" w:type="dxa"/>
              <w:left w:w="80" w:type="dxa"/>
              <w:bottom w:w="60" w:type="dxa"/>
              <w:right w:w="80" w:type="dxa"/>
            </w:tcMar>
          </w:tcPr>
          <w:p w14:paraId="69B0DBA7" w14:textId="77777777" w:rsidR="00723BD7" w:rsidRDefault="00000000">
            <w:r>
              <w:rPr>
                <w:color w:val="333333"/>
                <w:sz w:val="18"/>
                <w:szCs w:val="18"/>
              </w:rPr>
              <w:t>throughput −→ delivery quality → satisfaction → … → base → throughput</w:t>
            </w:r>
          </w:p>
        </w:tc>
        <w:tc>
          <w:tcPr>
            <w:tcW w:w="2400" w:type="dxa"/>
            <w:tcMar>
              <w:top w:w="60" w:type="dxa"/>
              <w:left w:w="80" w:type="dxa"/>
              <w:bottom w:w="60" w:type="dxa"/>
              <w:right w:w="80" w:type="dxa"/>
            </w:tcMar>
          </w:tcPr>
          <w:p w14:paraId="40E78C6E" w14:textId="77777777" w:rsidR="00723BD7" w:rsidRDefault="00000000">
            <w:r>
              <w:rPr>
                <w:color w:val="333333"/>
                <w:sz w:val="18"/>
                <w:szCs w:val="18"/>
              </w:rPr>
              <w:t>Growth and underinvestment (with R2)</w:t>
            </w:r>
          </w:p>
        </w:tc>
      </w:tr>
      <w:tr w:rsidR="00723BD7" w14:paraId="28DA4790" w14:textId="77777777">
        <w:tblPrEx>
          <w:tblCellMar>
            <w:top w:w="0" w:type="dxa"/>
            <w:bottom w:w="0" w:type="dxa"/>
          </w:tblCellMar>
        </w:tblPrEx>
        <w:tc>
          <w:tcPr>
            <w:tcW w:w="700" w:type="dxa"/>
            <w:tcMar>
              <w:top w:w="60" w:type="dxa"/>
              <w:left w:w="80" w:type="dxa"/>
              <w:bottom w:w="60" w:type="dxa"/>
              <w:right w:w="80" w:type="dxa"/>
            </w:tcMar>
          </w:tcPr>
          <w:p w14:paraId="2B07BDBE" w14:textId="77777777" w:rsidR="00723BD7" w:rsidRDefault="00000000">
            <w:r>
              <w:rPr>
                <w:color w:val="333333"/>
                <w:sz w:val="18"/>
                <w:szCs w:val="18"/>
              </w:rPr>
              <w:t>B3</w:t>
            </w:r>
          </w:p>
        </w:tc>
        <w:tc>
          <w:tcPr>
            <w:tcW w:w="2100" w:type="dxa"/>
            <w:tcMar>
              <w:top w:w="60" w:type="dxa"/>
              <w:left w:w="80" w:type="dxa"/>
              <w:bottom w:w="60" w:type="dxa"/>
              <w:right w:w="80" w:type="dxa"/>
            </w:tcMar>
          </w:tcPr>
          <w:p w14:paraId="6306E768" w14:textId="77777777" w:rsidR="00723BD7" w:rsidRDefault="00000000">
            <w:r>
              <w:rPr>
                <w:color w:val="333333"/>
                <w:sz w:val="18"/>
                <w:szCs w:val="18"/>
              </w:rPr>
              <w:t>Co-destruction drag</w:t>
            </w:r>
          </w:p>
        </w:tc>
        <w:tc>
          <w:tcPr>
            <w:tcW w:w="4300" w:type="dxa"/>
            <w:tcMar>
              <w:top w:w="60" w:type="dxa"/>
              <w:left w:w="80" w:type="dxa"/>
              <w:bottom w:w="60" w:type="dxa"/>
              <w:right w:w="80" w:type="dxa"/>
            </w:tcMar>
          </w:tcPr>
          <w:p w14:paraId="1AE86244" w14:textId="77777777" w:rsidR="00723BD7" w:rsidRDefault="00000000">
            <w:r>
              <w:rPr>
                <w:color w:val="333333"/>
                <w:sz w:val="18"/>
                <w:szCs w:val="18"/>
              </w:rPr>
              <w:t>throughput → co-destruction −→ satisfaction → … → throughput</w:t>
            </w:r>
          </w:p>
        </w:tc>
        <w:tc>
          <w:tcPr>
            <w:tcW w:w="2400" w:type="dxa"/>
            <w:tcMar>
              <w:top w:w="60" w:type="dxa"/>
              <w:left w:w="80" w:type="dxa"/>
              <w:bottom w:w="60" w:type="dxa"/>
              <w:right w:w="80" w:type="dxa"/>
            </w:tcMar>
          </w:tcPr>
          <w:p w14:paraId="600E8A3E" w14:textId="77777777" w:rsidR="00723BD7" w:rsidRDefault="00000000">
            <w:r>
              <w:rPr>
                <w:color w:val="333333"/>
                <w:sz w:val="18"/>
                <w:szCs w:val="18"/>
              </w:rPr>
              <w:t>Externality backlash</w:t>
            </w:r>
          </w:p>
        </w:tc>
      </w:tr>
      <w:tr w:rsidR="00723BD7" w14:paraId="71B5939A" w14:textId="77777777">
        <w:tblPrEx>
          <w:tblCellMar>
            <w:top w:w="0" w:type="dxa"/>
            <w:bottom w:w="0" w:type="dxa"/>
          </w:tblCellMar>
        </w:tblPrEx>
        <w:tc>
          <w:tcPr>
            <w:tcW w:w="700" w:type="dxa"/>
            <w:tcMar>
              <w:top w:w="60" w:type="dxa"/>
              <w:left w:w="80" w:type="dxa"/>
              <w:bottom w:w="60" w:type="dxa"/>
              <w:right w:w="80" w:type="dxa"/>
            </w:tcMar>
          </w:tcPr>
          <w:p w14:paraId="58F82D63" w14:textId="77777777" w:rsidR="00723BD7" w:rsidRDefault="00000000">
            <w:r>
              <w:rPr>
                <w:color w:val="333333"/>
                <w:sz w:val="18"/>
                <w:szCs w:val="18"/>
              </w:rPr>
              <w:t>B4</w:t>
            </w:r>
          </w:p>
        </w:tc>
        <w:tc>
          <w:tcPr>
            <w:tcW w:w="2100" w:type="dxa"/>
            <w:tcMar>
              <w:top w:w="60" w:type="dxa"/>
              <w:left w:w="80" w:type="dxa"/>
              <w:bottom w:w="60" w:type="dxa"/>
              <w:right w:w="80" w:type="dxa"/>
            </w:tcMar>
          </w:tcPr>
          <w:p w14:paraId="43F21325" w14:textId="77777777" w:rsidR="00723BD7" w:rsidRDefault="00000000">
            <w:r>
              <w:rPr>
                <w:color w:val="333333"/>
                <w:sz w:val="18"/>
                <w:szCs w:val="18"/>
              </w:rPr>
              <w:t>Ecological source limit</w:t>
            </w:r>
          </w:p>
        </w:tc>
        <w:tc>
          <w:tcPr>
            <w:tcW w:w="4300" w:type="dxa"/>
            <w:tcMar>
              <w:top w:w="60" w:type="dxa"/>
              <w:left w:w="80" w:type="dxa"/>
              <w:bottom w:w="60" w:type="dxa"/>
              <w:right w:w="80" w:type="dxa"/>
            </w:tcMar>
          </w:tcPr>
          <w:p w14:paraId="38D546A9" w14:textId="77777777" w:rsidR="00723BD7" w:rsidRDefault="00000000">
            <w:r>
              <w:rPr>
                <w:color w:val="333333"/>
                <w:sz w:val="18"/>
                <w:szCs w:val="18"/>
              </w:rPr>
              <w:t>throughput → extraction −→ biophysical stock → ecosystem services → capacity → … → throughput</w:t>
            </w:r>
          </w:p>
        </w:tc>
        <w:tc>
          <w:tcPr>
            <w:tcW w:w="2400" w:type="dxa"/>
            <w:tcMar>
              <w:top w:w="60" w:type="dxa"/>
              <w:left w:w="80" w:type="dxa"/>
              <w:bottom w:w="60" w:type="dxa"/>
              <w:right w:w="80" w:type="dxa"/>
            </w:tcMar>
          </w:tcPr>
          <w:p w14:paraId="6904A186" w14:textId="77777777" w:rsidR="00723BD7" w:rsidRDefault="00000000">
            <w:r>
              <w:rPr>
                <w:color w:val="333333"/>
                <w:sz w:val="18"/>
                <w:szCs w:val="18"/>
              </w:rPr>
              <w:t>Limits to growth (biophysical)</w:t>
            </w:r>
          </w:p>
        </w:tc>
      </w:tr>
      <w:tr w:rsidR="00723BD7" w14:paraId="07AE4E49" w14:textId="77777777">
        <w:tblPrEx>
          <w:tblCellMar>
            <w:top w:w="0" w:type="dxa"/>
            <w:bottom w:w="0" w:type="dxa"/>
          </w:tblCellMar>
        </w:tblPrEx>
        <w:tc>
          <w:tcPr>
            <w:tcW w:w="700" w:type="dxa"/>
            <w:tcMar>
              <w:top w:w="60" w:type="dxa"/>
              <w:left w:w="80" w:type="dxa"/>
              <w:bottom w:w="60" w:type="dxa"/>
              <w:right w:w="80" w:type="dxa"/>
            </w:tcMar>
          </w:tcPr>
          <w:p w14:paraId="5DEC79CC" w14:textId="77777777" w:rsidR="00723BD7" w:rsidRDefault="00000000">
            <w:r>
              <w:rPr>
                <w:color w:val="333333"/>
                <w:sz w:val="18"/>
                <w:szCs w:val="18"/>
              </w:rPr>
              <w:t>R3</w:t>
            </w:r>
          </w:p>
        </w:tc>
        <w:tc>
          <w:tcPr>
            <w:tcW w:w="2100" w:type="dxa"/>
            <w:tcMar>
              <w:top w:w="60" w:type="dxa"/>
              <w:left w:w="80" w:type="dxa"/>
              <w:bottom w:w="60" w:type="dxa"/>
              <w:right w:w="80" w:type="dxa"/>
            </w:tcMar>
          </w:tcPr>
          <w:p w14:paraId="540974E1" w14:textId="77777777" w:rsidR="00723BD7" w:rsidRDefault="00000000">
            <w:r>
              <w:rPr>
                <w:color w:val="333333"/>
                <w:sz w:val="18"/>
                <w:szCs w:val="18"/>
              </w:rPr>
              <w:t>Regenerative reinvestment</w:t>
            </w:r>
          </w:p>
        </w:tc>
        <w:tc>
          <w:tcPr>
            <w:tcW w:w="4300" w:type="dxa"/>
            <w:tcMar>
              <w:top w:w="60" w:type="dxa"/>
              <w:left w:w="80" w:type="dxa"/>
              <w:bottom w:w="60" w:type="dxa"/>
              <w:right w:w="80" w:type="dxa"/>
            </w:tcMar>
          </w:tcPr>
          <w:p w14:paraId="09D5B98D" w14:textId="77777777" w:rsidR="00723BD7" w:rsidRDefault="00000000">
            <w:r>
              <w:rPr>
                <w:color w:val="333333"/>
                <w:sz w:val="18"/>
                <w:szCs w:val="18"/>
              </w:rPr>
              <w:t>resources → regeneration → biophysical stock → ecosystem services → capacity → … → resources</w:t>
            </w:r>
          </w:p>
        </w:tc>
        <w:tc>
          <w:tcPr>
            <w:tcW w:w="2400" w:type="dxa"/>
            <w:tcMar>
              <w:top w:w="60" w:type="dxa"/>
              <w:left w:w="80" w:type="dxa"/>
              <w:bottom w:w="60" w:type="dxa"/>
              <w:right w:w="80" w:type="dxa"/>
            </w:tcMar>
          </w:tcPr>
          <w:p w14:paraId="673C1995" w14:textId="77777777" w:rsidR="00723BD7" w:rsidRDefault="00000000">
            <w:r>
              <w:rPr>
                <w:color w:val="333333"/>
                <w:sz w:val="18"/>
                <w:szCs w:val="18"/>
              </w:rPr>
              <w:t>Regeneration engine (distinctive of strongly sustainable models)</w:t>
            </w:r>
          </w:p>
        </w:tc>
      </w:tr>
      <w:tr w:rsidR="00723BD7" w14:paraId="23BF8B79" w14:textId="77777777">
        <w:tblPrEx>
          <w:tblCellMar>
            <w:top w:w="0" w:type="dxa"/>
            <w:bottom w:w="0" w:type="dxa"/>
          </w:tblCellMar>
        </w:tblPrEx>
        <w:tc>
          <w:tcPr>
            <w:tcW w:w="700" w:type="dxa"/>
            <w:tcMar>
              <w:top w:w="60" w:type="dxa"/>
              <w:left w:w="80" w:type="dxa"/>
              <w:bottom w:w="60" w:type="dxa"/>
              <w:right w:w="80" w:type="dxa"/>
            </w:tcMar>
          </w:tcPr>
          <w:p w14:paraId="44FE023D" w14:textId="77777777" w:rsidR="00723BD7" w:rsidRDefault="00000000">
            <w:r>
              <w:rPr>
                <w:color w:val="333333"/>
                <w:sz w:val="18"/>
                <w:szCs w:val="18"/>
              </w:rPr>
              <w:t>B5</w:t>
            </w:r>
          </w:p>
        </w:tc>
        <w:tc>
          <w:tcPr>
            <w:tcW w:w="2100" w:type="dxa"/>
            <w:tcMar>
              <w:top w:w="60" w:type="dxa"/>
              <w:left w:w="80" w:type="dxa"/>
              <w:bottom w:w="60" w:type="dxa"/>
              <w:right w:w="80" w:type="dxa"/>
            </w:tcMar>
          </w:tcPr>
          <w:p w14:paraId="5FA8AF15" w14:textId="77777777" w:rsidR="00723BD7" w:rsidRDefault="00000000">
            <w:r>
              <w:rPr>
                <w:color w:val="333333"/>
                <w:sz w:val="18"/>
                <w:szCs w:val="18"/>
              </w:rPr>
              <w:t>Governance goal-seeking</w:t>
            </w:r>
          </w:p>
        </w:tc>
        <w:tc>
          <w:tcPr>
            <w:tcW w:w="4300" w:type="dxa"/>
            <w:tcMar>
              <w:top w:w="60" w:type="dxa"/>
              <w:left w:w="80" w:type="dxa"/>
              <w:bottom w:w="60" w:type="dxa"/>
              <w:right w:w="80" w:type="dxa"/>
            </w:tcMar>
          </w:tcPr>
          <w:p w14:paraId="6551990F" w14:textId="77777777" w:rsidR="00723BD7" w:rsidRDefault="00000000">
            <w:r>
              <w:rPr>
                <w:color w:val="333333"/>
                <w:sz w:val="18"/>
                <w:szCs w:val="18"/>
              </w:rPr>
              <w:t>benefits −→ goal gap → governance response → capacity / regeneration → … → benefits</w:t>
            </w:r>
          </w:p>
        </w:tc>
        <w:tc>
          <w:tcPr>
            <w:tcW w:w="2400" w:type="dxa"/>
            <w:tcMar>
              <w:top w:w="60" w:type="dxa"/>
              <w:left w:w="80" w:type="dxa"/>
              <w:bottom w:w="60" w:type="dxa"/>
              <w:right w:w="80" w:type="dxa"/>
            </w:tcMar>
          </w:tcPr>
          <w:p w14:paraId="0669CBE4" w14:textId="77777777" w:rsidR="00723BD7" w:rsidRDefault="00000000">
            <w:r>
              <w:rPr>
                <w:color w:val="333333"/>
                <w:sz w:val="18"/>
                <w:szCs w:val="18"/>
              </w:rPr>
              <w:t>Goal-seeking control</w:t>
            </w:r>
          </w:p>
        </w:tc>
      </w:tr>
      <w:tr w:rsidR="00723BD7" w14:paraId="1737AA8F" w14:textId="77777777">
        <w:tblPrEx>
          <w:tblCellMar>
            <w:top w:w="0" w:type="dxa"/>
            <w:bottom w:w="0" w:type="dxa"/>
          </w:tblCellMar>
        </w:tblPrEx>
        <w:tc>
          <w:tcPr>
            <w:tcW w:w="700" w:type="dxa"/>
            <w:tcMar>
              <w:top w:w="60" w:type="dxa"/>
              <w:left w:w="80" w:type="dxa"/>
              <w:bottom w:w="60" w:type="dxa"/>
              <w:right w:w="80" w:type="dxa"/>
            </w:tcMar>
          </w:tcPr>
          <w:p w14:paraId="065669CB" w14:textId="77777777" w:rsidR="00723BD7" w:rsidRDefault="00000000">
            <w:r>
              <w:rPr>
                <w:color w:val="333333"/>
                <w:sz w:val="18"/>
                <w:szCs w:val="18"/>
              </w:rPr>
              <w:t>R4</w:t>
            </w:r>
          </w:p>
        </w:tc>
        <w:tc>
          <w:tcPr>
            <w:tcW w:w="2100" w:type="dxa"/>
            <w:tcMar>
              <w:top w:w="60" w:type="dxa"/>
              <w:left w:w="80" w:type="dxa"/>
              <w:bottom w:w="60" w:type="dxa"/>
              <w:right w:w="80" w:type="dxa"/>
            </w:tcMar>
          </w:tcPr>
          <w:p w14:paraId="3C253324" w14:textId="77777777" w:rsidR="00723BD7" w:rsidRDefault="00000000">
            <w:r>
              <w:rPr>
                <w:color w:val="333333"/>
                <w:sz w:val="18"/>
                <w:szCs w:val="18"/>
              </w:rPr>
              <w:t>Legitimacy engine</w:t>
            </w:r>
          </w:p>
        </w:tc>
        <w:tc>
          <w:tcPr>
            <w:tcW w:w="4300" w:type="dxa"/>
            <w:tcMar>
              <w:top w:w="60" w:type="dxa"/>
              <w:left w:w="80" w:type="dxa"/>
              <w:bottom w:w="60" w:type="dxa"/>
              <w:right w:w="80" w:type="dxa"/>
            </w:tcMar>
          </w:tcPr>
          <w:p w14:paraId="7A27ADDD" w14:textId="77777777" w:rsidR="00723BD7" w:rsidRDefault="00000000">
            <w:r>
              <w:rPr>
                <w:color w:val="333333"/>
                <w:sz w:val="18"/>
                <w:szCs w:val="18"/>
              </w:rPr>
              <w:t>benefits → societal legitimacy → engagement → base → … → benefits</w:t>
            </w:r>
          </w:p>
        </w:tc>
        <w:tc>
          <w:tcPr>
            <w:tcW w:w="2400" w:type="dxa"/>
            <w:tcMar>
              <w:top w:w="60" w:type="dxa"/>
              <w:left w:w="80" w:type="dxa"/>
              <w:bottom w:w="60" w:type="dxa"/>
              <w:right w:w="80" w:type="dxa"/>
            </w:tcMar>
          </w:tcPr>
          <w:p w14:paraId="5F45E38E" w14:textId="77777777" w:rsidR="00723BD7" w:rsidRDefault="00000000">
            <w:r>
              <w:rPr>
                <w:color w:val="333333"/>
                <w:sz w:val="18"/>
                <w:szCs w:val="18"/>
              </w:rPr>
              <w:t>Reputation engine</w:t>
            </w:r>
          </w:p>
        </w:tc>
      </w:tr>
    </w:tbl>
    <w:p w14:paraId="4D96FFF9" w14:textId="77777777" w:rsidR="00723BD7" w:rsidRDefault="00723BD7">
      <w:pPr>
        <w:spacing w:after="120"/>
      </w:pPr>
    </w:p>
    <w:p w14:paraId="34E6CCFF" w14:textId="77777777" w:rsidR="00723BD7" w:rsidRDefault="00000000">
      <w:pPr>
        <w:spacing w:after="160" w:line="276" w:lineRule="auto"/>
      </w:pPr>
      <w:r>
        <w:lastRenderedPageBreak/>
        <w:t>The structure makes the strongly sustainable claim testable: a conventional business model contains R1, B1, R2, B2 and a financial goal-seeking loop. What the FBMC adds — and what the registry forces the CLD to carry — are B3, B4, R3, B5 (in all three tri-profit dimensions) and R4. If an instantiated CLD lacks these, either the business model genuinely lacks them (a finding) or the translation lost them (an invariant violation).</w:t>
      </w:r>
    </w:p>
    <w:p w14:paraId="15532ECD" w14:textId="77777777" w:rsidR="00723BD7" w:rsidRDefault="00000000">
      <w:pPr>
        <w:pStyle w:val="Heading1"/>
        <w:spacing w:before="320" w:after="160"/>
      </w:pPr>
      <w:bookmarkStart w:id="13" w:name="_Toc233908309"/>
      <w:r>
        <w:rPr>
          <w:b/>
          <w:bCs/>
          <w:color w:val="4D784E"/>
          <w:sz w:val="30"/>
          <w:szCs w:val="30"/>
        </w:rPr>
        <w:t>9. Synchronization Workflow</w:t>
      </w:r>
      <w:bookmarkEnd w:id="13"/>
    </w:p>
    <w:p w14:paraId="333731FC" w14:textId="77777777" w:rsidR="00723BD7" w:rsidRDefault="00000000">
      <w:pPr>
        <w:spacing w:after="160" w:line="276" w:lineRule="auto"/>
      </w:pPr>
      <w:r>
        <w:t>Keeping the artifacts aligned over time is a change-management discipline on the registry:</w:t>
      </w:r>
    </w:p>
    <w:p w14:paraId="67855D45" w14:textId="77777777" w:rsidR="00723BD7" w:rsidRDefault="00000000">
      <w:pPr>
        <w:pStyle w:val="ListParagraph"/>
        <w:numPr>
          <w:ilvl w:val="0"/>
          <w:numId w:val="3"/>
        </w:numPr>
        <w:spacing w:after="80"/>
      </w:pPr>
      <w:r>
        <w:t>Any change — new insight from a workshop, a rename, a merged concept, a dropped loop — is first expressed as a ChangeRecord against registry entries (add / rename / split / merge / retire, with rationale and affected artifacts).</w:t>
      </w:r>
    </w:p>
    <w:p w14:paraId="02582046" w14:textId="77777777" w:rsidR="00723BD7" w:rsidRDefault="00000000">
      <w:pPr>
        <w:pStyle w:val="ListParagraph"/>
        <w:numPr>
          <w:ilvl w:val="0"/>
          <w:numId w:val="3"/>
        </w:numPr>
        <w:spacing w:after="80"/>
      </w:pPr>
      <w:r>
        <w:t>The registry is updated and versioned; ids are never reused.</w:t>
      </w:r>
    </w:p>
    <w:p w14:paraId="09DAC8BE" w14:textId="77777777" w:rsidR="00723BD7" w:rsidRDefault="00000000">
      <w:pPr>
        <w:pStyle w:val="ListParagraph"/>
        <w:numPr>
          <w:ilvl w:val="0"/>
          <w:numId w:val="3"/>
        </w:numPr>
        <w:spacing w:after="80"/>
      </w:pPr>
      <w:r>
        <w:t>The canvas annotations and the CLD are regenerated from the registry. Loop types are re-derived; the invariants I1–I7 are re-checked.</w:t>
      </w:r>
    </w:p>
    <w:p w14:paraId="2953D40E" w14:textId="77777777" w:rsidR="00723BD7" w:rsidRDefault="00000000">
      <w:pPr>
        <w:pStyle w:val="ListParagraph"/>
        <w:numPr>
          <w:ilvl w:val="0"/>
          <w:numId w:val="3"/>
        </w:numPr>
        <w:spacing w:after="80"/>
      </w:pPr>
      <w:r>
        <w:t>Only then is a new artifact version published, carrying the registry version it was generated from.</w:t>
      </w:r>
    </w:p>
    <w:p w14:paraId="0FFADBF2" w14:textId="77777777" w:rsidR="00723BD7" w:rsidRDefault="00000000">
      <w:pPr>
        <w:spacing w:after="160" w:line="276" w:lineRule="auto"/>
      </w:pPr>
      <w:r>
        <w:t>This is what versions 1 and 2 of the SustainaSun papers lacked: both were hand-edited artifacts with no shared registry, so neither can be called wrong relative to the other — there was no reference to be wrong against. The registry provides that reference.</w:t>
      </w:r>
    </w:p>
    <w:p w14:paraId="25D4865B" w14:textId="77777777" w:rsidR="00723BD7" w:rsidRDefault="00000000">
      <w:pPr>
        <w:pStyle w:val="Heading1"/>
        <w:spacing w:before="320" w:after="160"/>
      </w:pPr>
      <w:bookmarkStart w:id="14" w:name="_Toc233908310"/>
      <w:r>
        <w:rPr>
          <w:b/>
          <w:bCs/>
          <w:color w:val="4D784E"/>
          <w:sz w:val="30"/>
          <w:szCs w:val="30"/>
        </w:rPr>
        <w:t>10. Roadmap: From Concept to the PV Instantiation</w:t>
      </w:r>
      <w:bookmarkEnd w:id="14"/>
    </w:p>
    <w:p w14:paraId="65330C10" w14:textId="77777777" w:rsidR="00723BD7" w:rsidRDefault="00000000">
      <w:pPr>
        <w:pStyle w:val="ListParagraph"/>
        <w:numPr>
          <w:ilvl w:val="0"/>
          <w:numId w:val="3"/>
        </w:numPr>
        <w:spacing w:after="80"/>
      </w:pPr>
      <w:r>
        <w:t>Instantiate the registry for the SustainaSun business model: fill the Section 7 template from the canvas, reconciling the v1/v2 vocabularies into canonical names with a documented rename map.</w:t>
      </w:r>
    </w:p>
    <w:p w14:paraId="7262B071" w14:textId="77777777" w:rsidR="00723BD7" w:rsidRDefault="00000000">
      <w:pPr>
        <w:pStyle w:val="ListParagraph"/>
        <w:numPr>
          <w:ilvl w:val="0"/>
          <w:numId w:val="3"/>
        </w:numPr>
        <w:spacing w:after="80"/>
      </w:pPr>
      <w:r>
        <w:t>Regenerate the CLD as v3 from the registry: corrected loop classification, actual-vs-perceived environment split restored, compound variables split, all loops traceable to canvas blocks.</w:t>
      </w:r>
    </w:p>
    <w:p w14:paraId="4F17D37D" w14:textId="77777777" w:rsidR="00723BD7" w:rsidRDefault="00000000">
      <w:pPr>
        <w:pStyle w:val="ListParagraph"/>
        <w:numPr>
          <w:ilvl w:val="0"/>
          <w:numId w:val="3"/>
        </w:numPr>
        <w:spacing w:after="80"/>
      </w:pPr>
      <w:r>
        <w:t>Vensim translation: sdTypeHint → Level / Rate / Auxiliary / Constant; units from the registry; reference modes from the problem statement; structural validation (polarity, units, extreme conditions).</w:t>
      </w:r>
    </w:p>
    <w:p w14:paraId="601946BD" w14:textId="77777777" w:rsidR="00723BD7" w:rsidRDefault="00000000">
      <w:pPr>
        <w:pStyle w:val="ListParagraph"/>
        <w:numPr>
          <w:ilvl w:val="0"/>
          <w:numId w:val="3"/>
        </w:numPr>
        <w:spacing w:after="80"/>
      </w:pPr>
      <w:r>
        <w:t>Financial model binding: Excel line items bind to Econ-dimension attributes; the KPI sheet binds to Goal indicators, so the spreadsheet and the SD model report the same named quantities.</w:t>
      </w:r>
    </w:p>
    <w:p w14:paraId="44BBA2D1" w14:textId="77777777" w:rsidR="00723BD7" w:rsidRDefault="00000000">
      <w:pPr>
        <w:pStyle w:val="Heading1"/>
        <w:spacing w:before="320" w:after="160"/>
      </w:pPr>
      <w:bookmarkStart w:id="15" w:name="_Toc233908311"/>
      <w:r>
        <w:rPr>
          <w:b/>
          <w:bCs/>
          <w:color w:val="4D784E"/>
          <w:sz w:val="30"/>
          <w:szCs w:val="30"/>
        </w:rPr>
        <w:t>11. References</w:t>
      </w:r>
      <w:bookmarkEnd w:id="15"/>
    </w:p>
    <w:p w14:paraId="6D6203D0" w14:textId="77777777" w:rsidR="00723BD7" w:rsidRDefault="00000000">
      <w:pPr>
        <w:pStyle w:val="ListParagraph"/>
        <w:numPr>
          <w:ilvl w:val="0"/>
          <w:numId w:val="2"/>
        </w:numPr>
        <w:spacing w:after="80"/>
      </w:pPr>
      <w:r>
        <w:t>Upward, A., &amp; Jones, P. (2015). An Ontology for Strongly Sustainable Business Models: Defining an Enterprise Framework Compatible with Natural and Social Science. Organization &amp; Environment, 29(1).</w:t>
      </w:r>
    </w:p>
    <w:p w14:paraId="6439453C" w14:textId="77777777" w:rsidR="00723BD7" w:rsidRDefault="00000000">
      <w:pPr>
        <w:pStyle w:val="ListParagraph"/>
        <w:numPr>
          <w:ilvl w:val="0"/>
          <w:numId w:val="2"/>
        </w:numPr>
        <w:spacing w:after="80"/>
      </w:pPr>
      <w:r>
        <w:t>Sterman, J. D. (2000). Business Dynamics: Systems Thinking and Modeling for a Complex World. McGraw-Hill.</w:t>
      </w:r>
    </w:p>
    <w:p w14:paraId="0422069C" w14:textId="77777777" w:rsidR="00723BD7" w:rsidRPr="00354F8A" w:rsidRDefault="00000000">
      <w:pPr>
        <w:pStyle w:val="ListParagraph"/>
        <w:numPr>
          <w:ilvl w:val="0"/>
          <w:numId w:val="2"/>
        </w:numPr>
        <w:spacing w:after="80"/>
        <w:rPr>
          <w:lang w:val="fr-FR"/>
        </w:rPr>
      </w:pPr>
      <w:r>
        <w:t xml:space="preserve">Osterwalder, A. (2004). The Business Model Ontology. </w:t>
      </w:r>
      <w:r w:rsidRPr="00354F8A">
        <w:rPr>
          <w:lang w:val="fr-FR"/>
        </w:rPr>
        <w:t>PhD thesis, Université de Lausanne.</w:t>
      </w:r>
    </w:p>
    <w:p w14:paraId="28645328" w14:textId="77777777" w:rsidR="00723BD7" w:rsidRDefault="00000000">
      <w:pPr>
        <w:pStyle w:val="ListParagraph"/>
        <w:numPr>
          <w:ilvl w:val="0"/>
          <w:numId w:val="2"/>
        </w:numPr>
        <w:spacing w:after="80"/>
      </w:pPr>
      <w:r>
        <w:t>Senge, P. (1990). The Fifth Discipline (system archetypes). Doubleday.</w:t>
      </w:r>
    </w:p>
    <w:p w14:paraId="2BD7001F" w14:textId="77777777" w:rsidR="00723BD7" w:rsidRDefault="00000000">
      <w:pPr>
        <w:pStyle w:val="ListParagraph"/>
        <w:numPr>
          <w:ilvl w:val="0"/>
          <w:numId w:val="2"/>
        </w:numPr>
        <w:spacing w:after="80"/>
      </w:pPr>
      <w:r>
        <w:lastRenderedPageBreak/>
        <w:t>Companion artifacts in this folder: FBMC-CLD-Alignment-Ontology.drawio (pages: 1 FBMC metamodel, 2 CLD metamodel, 3 Alignment bridge, 4 Generic CLD); FBMC-CLD-Semantic-Alignment-Method.md.</w:t>
      </w:r>
    </w:p>
    <w:sectPr w:rsidR="00723BD7">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Hamza Bassam" w:date="2026-07-02T18:42:00Z" w:initials="HB">
    <w:p w14:paraId="1A5CB69A" w14:textId="4C513DE7" w:rsidR="00354F8A" w:rsidRDefault="00354F8A">
      <w:pPr>
        <w:pStyle w:val="CommentText"/>
      </w:pPr>
      <w:r>
        <w:rPr>
          <w:rStyle w:val="CommentReference"/>
        </w:rPr>
        <w:annotationRef/>
      </w:r>
      <w:r>
        <w:t>Add semnatic alignment of SD</w:t>
      </w:r>
    </w:p>
  </w:comment>
  <w:comment w:id="11" w:author="Hamza Bassam" w:date="2026-07-02T18:54:00Z" w:initials="HB">
    <w:p w14:paraId="173416D3" w14:textId="705C008D" w:rsidR="000C207E" w:rsidRDefault="000C207E">
      <w:pPr>
        <w:pStyle w:val="CommentText"/>
      </w:pPr>
      <w:r>
        <w:rPr>
          <w:rStyle w:val="CommentReference"/>
        </w:rPr>
        <w:annotationRef/>
      </w:r>
      <w:r>
        <w:t>Check it again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5CB69A" w15:done="0"/>
  <w15:commentEx w15:paraId="173416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7AA5ED" w16cex:dateUtc="2026-07-02T16:42:00Z"/>
  <w16cex:commentExtensible w16cex:durableId="57DAF4F4" w16cex:dateUtc="2026-07-02T16: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5CB69A" w16cid:durableId="2C7AA5ED"/>
  <w16cid:commentId w16cid:paraId="173416D3" w16cid:durableId="57DAF4F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72B27"/>
    <w:multiLevelType w:val="hybridMultilevel"/>
    <w:tmpl w:val="8208F2CC"/>
    <w:lvl w:ilvl="0" w:tplc="26BEAF14">
      <w:start w:val="1"/>
      <w:numFmt w:val="bullet"/>
      <w:lvlText w:val="•"/>
      <w:lvlJc w:val="left"/>
      <w:pPr>
        <w:ind w:left="460" w:hanging="260"/>
      </w:pPr>
    </w:lvl>
    <w:lvl w:ilvl="1" w:tplc="3524348C">
      <w:numFmt w:val="decimal"/>
      <w:lvlText w:val=""/>
      <w:lvlJc w:val="left"/>
    </w:lvl>
    <w:lvl w:ilvl="2" w:tplc="25A0B4C8">
      <w:numFmt w:val="decimal"/>
      <w:lvlText w:val=""/>
      <w:lvlJc w:val="left"/>
    </w:lvl>
    <w:lvl w:ilvl="3" w:tplc="DF7645A4">
      <w:numFmt w:val="decimal"/>
      <w:lvlText w:val=""/>
      <w:lvlJc w:val="left"/>
    </w:lvl>
    <w:lvl w:ilvl="4" w:tplc="18B6705A">
      <w:numFmt w:val="decimal"/>
      <w:lvlText w:val=""/>
      <w:lvlJc w:val="left"/>
    </w:lvl>
    <w:lvl w:ilvl="5" w:tplc="9162DBE0">
      <w:numFmt w:val="decimal"/>
      <w:lvlText w:val=""/>
      <w:lvlJc w:val="left"/>
    </w:lvl>
    <w:lvl w:ilvl="6" w:tplc="BE8CBB42">
      <w:numFmt w:val="decimal"/>
      <w:lvlText w:val=""/>
      <w:lvlJc w:val="left"/>
    </w:lvl>
    <w:lvl w:ilvl="7" w:tplc="4E627900">
      <w:numFmt w:val="decimal"/>
      <w:lvlText w:val=""/>
      <w:lvlJc w:val="left"/>
    </w:lvl>
    <w:lvl w:ilvl="8" w:tplc="8F2CF6F8">
      <w:numFmt w:val="decimal"/>
      <w:lvlText w:val=""/>
      <w:lvlJc w:val="left"/>
    </w:lvl>
  </w:abstractNum>
  <w:abstractNum w:abstractNumId="1" w15:restartNumberingAfterBreak="0">
    <w:nsid w:val="3D1D4861"/>
    <w:multiLevelType w:val="hybridMultilevel"/>
    <w:tmpl w:val="67C086E0"/>
    <w:lvl w:ilvl="0" w:tplc="AF9A5CCC">
      <w:start w:val="1"/>
      <w:numFmt w:val="bullet"/>
      <w:lvlText w:val="●"/>
      <w:lvlJc w:val="left"/>
      <w:pPr>
        <w:ind w:left="720" w:hanging="360"/>
      </w:pPr>
    </w:lvl>
    <w:lvl w:ilvl="1" w:tplc="90F21AAA">
      <w:start w:val="1"/>
      <w:numFmt w:val="bullet"/>
      <w:lvlText w:val="○"/>
      <w:lvlJc w:val="left"/>
      <w:pPr>
        <w:ind w:left="1440" w:hanging="360"/>
      </w:pPr>
    </w:lvl>
    <w:lvl w:ilvl="2" w:tplc="63C6FA0C">
      <w:start w:val="1"/>
      <w:numFmt w:val="bullet"/>
      <w:lvlText w:val="■"/>
      <w:lvlJc w:val="left"/>
      <w:pPr>
        <w:ind w:left="2160" w:hanging="360"/>
      </w:pPr>
    </w:lvl>
    <w:lvl w:ilvl="3" w:tplc="22EAB77E">
      <w:start w:val="1"/>
      <w:numFmt w:val="bullet"/>
      <w:lvlText w:val="●"/>
      <w:lvlJc w:val="left"/>
      <w:pPr>
        <w:ind w:left="2880" w:hanging="360"/>
      </w:pPr>
    </w:lvl>
    <w:lvl w:ilvl="4" w:tplc="CF78C65C">
      <w:start w:val="1"/>
      <w:numFmt w:val="bullet"/>
      <w:lvlText w:val="○"/>
      <w:lvlJc w:val="left"/>
      <w:pPr>
        <w:ind w:left="3600" w:hanging="360"/>
      </w:pPr>
    </w:lvl>
    <w:lvl w:ilvl="5" w:tplc="4B346D1A">
      <w:start w:val="1"/>
      <w:numFmt w:val="bullet"/>
      <w:lvlText w:val="■"/>
      <w:lvlJc w:val="left"/>
      <w:pPr>
        <w:ind w:left="4320" w:hanging="360"/>
      </w:pPr>
    </w:lvl>
    <w:lvl w:ilvl="6" w:tplc="DFC05E48">
      <w:start w:val="1"/>
      <w:numFmt w:val="bullet"/>
      <w:lvlText w:val="●"/>
      <w:lvlJc w:val="left"/>
      <w:pPr>
        <w:ind w:left="5040" w:hanging="360"/>
      </w:pPr>
    </w:lvl>
    <w:lvl w:ilvl="7" w:tplc="66765D4C">
      <w:start w:val="1"/>
      <w:numFmt w:val="bullet"/>
      <w:lvlText w:val="●"/>
      <w:lvlJc w:val="left"/>
      <w:pPr>
        <w:ind w:left="5760" w:hanging="360"/>
      </w:pPr>
    </w:lvl>
    <w:lvl w:ilvl="8" w:tplc="9B964592">
      <w:start w:val="1"/>
      <w:numFmt w:val="bullet"/>
      <w:lvlText w:val="●"/>
      <w:lvlJc w:val="left"/>
      <w:pPr>
        <w:ind w:left="6480" w:hanging="360"/>
      </w:pPr>
    </w:lvl>
  </w:abstractNum>
  <w:abstractNum w:abstractNumId="2" w15:restartNumberingAfterBreak="0">
    <w:nsid w:val="6F1421D0"/>
    <w:multiLevelType w:val="hybridMultilevel"/>
    <w:tmpl w:val="BEEC09C6"/>
    <w:lvl w:ilvl="0" w:tplc="5E94E42E">
      <w:start w:val="1"/>
      <w:numFmt w:val="decimal"/>
      <w:lvlText w:val="%1."/>
      <w:lvlJc w:val="left"/>
      <w:pPr>
        <w:ind w:left="460" w:hanging="260"/>
      </w:pPr>
    </w:lvl>
    <w:lvl w:ilvl="1" w:tplc="756882E8">
      <w:numFmt w:val="decimal"/>
      <w:lvlText w:val=""/>
      <w:lvlJc w:val="left"/>
    </w:lvl>
    <w:lvl w:ilvl="2" w:tplc="6A1EA220">
      <w:numFmt w:val="decimal"/>
      <w:lvlText w:val=""/>
      <w:lvlJc w:val="left"/>
    </w:lvl>
    <w:lvl w:ilvl="3" w:tplc="10109900">
      <w:numFmt w:val="decimal"/>
      <w:lvlText w:val=""/>
      <w:lvlJc w:val="left"/>
    </w:lvl>
    <w:lvl w:ilvl="4" w:tplc="07047144">
      <w:numFmt w:val="decimal"/>
      <w:lvlText w:val=""/>
      <w:lvlJc w:val="left"/>
    </w:lvl>
    <w:lvl w:ilvl="5" w:tplc="B29EEBF6">
      <w:numFmt w:val="decimal"/>
      <w:lvlText w:val=""/>
      <w:lvlJc w:val="left"/>
    </w:lvl>
    <w:lvl w:ilvl="6" w:tplc="EE0497F6">
      <w:numFmt w:val="decimal"/>
      <w:lvlText w:val=""/>
      <w:lvlJc w:val="left"/>
    </w:lvl>
    <w:lvl w:ilvl="7" w:tplc="278ED15E">
      <w:numFmt w:val="decimal"/>
      <w:lvlText w:val=""/>
      <w:lvlJc w:val="left"/>
    </w:lvl>
    <w:lvl w:ilvl="8" w:tplc="A0CE8D36">
      <w:numFmt w:val="decimal"/>
      <w:lvlText w:val=""/>
      <w:lvlJc w:val="left"/>
    </w:lvl>
  </w:abstractNum>
  <w:num w:numId="1" w16cid:durableId="1872836172">
    <w:abstractNumId w:val="1"/>
    <w:lvlOverride w:ilvl="0">
      <w:startOverride w:val="1"/>
    </w:lvlOverride>
  </w:num>
  <w:num w:numId="2" w16cid:durableId="1712607110">
    <w:abstractNumId w:val="0"/>
    <w:lvlOverride w:ilvl="0">
      <w:startOverride w:val="1"/>
    </w:lvlOverride>
  </w:num>
  <w:num w:numId="3" w16cid:durableId="554702492">
    <w:abstractNumId w:val="2"/>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mza Bassam">
    <w15:presenceInfo w15:providerId="AD" w15:userId="S::HamzaB@oose.de::0a332760-116e-4bc9-a6ec-f68617459b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BD7"/>
    <w:rsid w:val="000C207E"/>
    <w:rsid w:val="00354F8A"/>
    <w:rsid w:val="00723BD7"/>
    <w:rsid w:val="00BF3E44"/>
    <w:rsid w:val="00CA7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54DD1"/>
  <w15:docId w15:val="{D86120D4-E3B4-4B49-BD2B-4059A6B9E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54F8A"/>
    <w:pPr>
      <w:spacing w:after="100"/>
    </w:pPr>
  </w:style>
  <w:style w:type="paragraph" w:styleId="TOC2">
    <w:name w:val="toc 2"/>
    <w:basedOn w:val="Normal"/>
    <w:next w:val="Normal"/>
    <w:autoRedefine/>
    <w:uiPriority w:val="39"/>
    <w:unhideWhenUsed/>
    <w:rsid w:val="00354F8A"/>
    <w:pPr>
      <w:spacing w:after="100"/>
      <w:ind w:left="220"/>
    </w:pPr>
  </w:style>
  <w:style w:type="character" w:styleId="CommentReference">
    <w:name w:val="annotation reference"/>
    <w:basedOn w:val="DefaultParagraphFont"/>
    <w:uiPriority w:val="99"/>
    <w:semiHidden/>
    <w:unhideWhenUsed/>
    <w:rsid w:val="00354F8A"/>
    <w:rPr>
      <w:sz w:val="16"/>
      <w:szCs w:val="16"/>
    </w:rPr>
  </w:style>
  <w:style w:type="paragraph" w:styleId="CommentText">
    <w:name w:val="annotation text"/>
    <w:basedOn w:val="Normal"/>
    <w:link w:val="CommentTextChar"/>
    <w:uiPriority w:val="99"/>
    <w:semiHidden/>
    <w:unhideWhenUsed/>
    <w:rsid w:val="00354F8A"/>
    <w:rPr>
      <w:sz w:val="20"/>
      <w:szCs w:val="20"/>
    </w:rPr>
  </w:style>
  <w:style w:type="character" w:customStyle="1" w:styleId="CommentTextChar">
    <w:name w:val="Comment Text Char"/>
    <w:basedOn w:val="DefaultParagraphFont"/>
    <w:link w:val="CommentText"/>
    <w:uiPriority w:val="99"/>
    <w:semiHidden/>
    <w:rsid w:val="00354F8A"/>
    <w:rPr>
      <w:sz w:val="20"/>
      <w:szCs w:val="20"/>
    </w:rPr>
  </w:style>
  <w:style w:type="paragraph" w:styleId="CommentSubject">
    <w:name w:val="annotation subject"/>
    <w:basedOn w:val="CommentText"/>
    <w:next w:val="CommentText"/>
    <w:link w:val="CommentSubjectChar"/>
    <w:uiPriority w:val="99"/>
    <w:semiHidden/>
    <w:unhideWhenUsed/>
    <w:rsid w:val="00354F8A"/>
    <w:rPr>
      <w:b/>
      <w:bCs/>
    </w:rPr>
  </w:style>
  <w:style w:type="character" w:customStyle="1" w:styleId="CommentSubjectChar">
    <w:name w:val="Comment Subject Char"/>
    <w:basedOn w:val="CommentTextChar"/>
    <w:link w:val="CommentSubject"/>
    <w:uiPriority w:val="99"/>
    <w:semiHidden/>
    <w:rsid w:val="00354F8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2873</Words>
  <Characters>16380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Hamza Bassam</cp:lastModifiedBy>
  <cp:revision>3</cp:revision>
  <dcterms:created xsi:type="dcterms:W3CDTF">2026-07-02T12:51:00Z</dcterms:created>
  <dcterms:modified xsi:type="dcterms:W3CDTF">2026-07-02T19:12:00Z</dcterms:modified>
</cp:coreProperties>
</file>