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0"/>
          <w:szCs w:val="40"/>
        </w:rPr>
        <w:t xml:space="preserve">FIVE-PILLAR AI GOVERNANCE FRAMEWORK</w:t>
      </w:r>
    </w:p>
    <w:p>
      <w:pPr>
        <w:spacing w:after="600"/>
        <w:jc w:val="center"/>
      </w:pPr>
      <w:r>
        <w:rPr>
          <w:rFonts w:ascii="Arial" w:cs="Arial" w:eastAsia="Arial" w:hAnsi="Arial"/>
          <w:color w:val="2E75B6"/>
          <w:sz w:val="32"/>
          <w:szCs w:val="32"/>
        </w:rPr>
        <w:t xml:space="preserve">Phase 1 Discovery Questionnaire</w:t>
      </w:r>
    </w:p>
    <w:p>
      <w:pPr>
        <w:pBdr>
          <w:top w:val="single" w:color="2E75B6" w:sz="6" w:space="12"/>
        </w:pBdr>
        <w:spacing w:after="200" w:before="200"/>
        <w:jc w:val="center"/>
      </w:pPr>
      <w:r>
        <w:rPr>
          <w:rFonts w:ascii="Arial" w:cs="Arial" w:eastAsia="Arial" w:hAnsi="Arial"/>
          <w:color w:val="666666"/>
          <w:sz w:val="24"/>
          <w:szCs w:val="24"/>
        </w:rPr>
        <w:t xml:space="preserve">Generic Template — All Deployment Archetypes</w:t>
      </w:r>
    </w:p>
    <w:p>
      <w:pPr>
        <w:spacing w:after="100"/>
        <w:jc w:val="center"/>
      </w:pPr>
      <w:r>
        <w:rPr>
          <w:rFonts w:ascii="Arial" w:cs="Arial" w:eastAsia="Arial" w:hAnsi="Arial"/>
          <w:color w:val="888888"/>
          <w:sz w:val="20"/>
          <w:szCs w:val="20"/>
        </w:rPr>
        <w:t xml:space="preserve">Applicable to: DoD GenAI | FedRAMP 20x AI SaaS | CMMC DIB AI | Civilian M-25-21</w:t>
      </w:r>
    </w:p>
    <w:p>
      <w:pPr>
        <w:spacing w:before="1200"/>
        <w:jc w:val="center"/>
      </w:pPr>
      <w:r>
        <w:rPr>
          <w:rFonts w:ascii="Arial" w:cs="Arial" w:eastAsia="Arial" w:hAnsi="Arial"/>
          <w:color w:val="999999"/>
          <w:sz w:val="20"/>
          <w:szCs w:val="20"/>
        </w:rPr>
        <w:t xml:space="preserve">Version 1.0 — May 2026</w:t>
      </w:r>
    </w:p>
    <w:p>
      <w:pPr>
        <w:jc w:val="center"/>
      </w:pPr>
      <w:r>
        <w:rPr>
          <w:rFonts w:ascii="Arial" w:cs="Arial" w:eastAsia="Arial" w:hAnsi="Arial"/>
          <w:b/>
          <w:bCs/>
          <w:color w:val="CC0000"/>
          <w:sz w:val="22"/>
          <w:szCs w:val="22"/>
        </w:rPr>
        <w:t xml:space="preserve">DRAFT — ENGAGEMENT CONFIDENTIAL</w:t>
      </w:r>
    </w:p>
    <w:p>
      <w:r>
        <w:br w:type="page"/>
      </w:r>
    </w:p>
    <w:p>
      <w:pPr>
        <w:pStyle w:val="Heading1"/>
      </w:pPr>
      <w:r>
        <w:t xml:space="preserve">How to Use This Document</w:t>
      </w:r>
    </w:p>
    <w:p>
      <w:pPr>
        <w:spacing w:after="120"/>
      </w:pPr>
      <w:r>
        <w:rPr>
          <w:sz w:val="20"/>
          <w:szCs w:val="20"/>
        </w:rPr>
        <w:t xml:space="preserve">This questionnaire is the primary intake instrument for Phase 1 (Discovery and Scoping) of the Five-Pillar AI Governance Framework engagement. It is designed to be completed by the client organization’s CAIO, CISO, CIO, Privacy Officer, and AI program leads prior to the first on-site or virtual workshop.</w:t>
      </w:r>
    </w:p>
    <w:p>
      <w:pPr>
        <w:spacing w:after="120"/>
      </w:pPr>
      <w:r>
        <w:rPr>
          <w:sz w:val="20"/>
          <w:szCs w:val="20"/>
        </w:rPr>
        <w:t xml:space="preserve">The questionnaire is organized into six sections: one cross-cutting organizational assessment and one section per framework pillar. Each question includes a standards-mapping reference showing which federal or international requirements it addresses, and an evidence-required field identifying the specific documentation needed to substantiate the response.</w:t>
      </w:r>
    </w:p>
    <w:p>
      <w:pPr>
        <w:spacing w:after="120"/>
      </w:pPr>
      <w:r>
        <w:rPr>
          <w:sz w:val="20"/>
          <w:szCs w:val="20"/>
        </w:rPr>
        <w:t xml:space="preserve">Responses should be as specific as possible. Where a question asks for a document, provide the document itself (or a link to it) rather than a narrative summary. Where a question asks for a yes/no determination, provide the determination followed by a brief explanation. Where the answer is “not yet” or “no,” that is a useful and expected answer — it identifies a gap that the engagement will address.</w:t>
      </w:r>
    </w:p>
    <w:p>
      <w:pPr>
        <w:spacing w:after="200"/>
      </w:pPr>
      <w:r>
        <w:rPr>
          <w:sz w:val="20"/>
          <w:szCs w:val="20"/>
        </w:rPr>
        <w:t xml:space="preserve">This is a generic template applicable across all four deployment archetypes (DoD GenAI, FedRAMP 20x Moderate AI SaaS, CMMC DIB AI, Civilian M-25-21 Rights-Impacting AI). Scenario-specific questions will be added during the scoping workshop based on the archetype(s) applicable to your organization.</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Section 0: Cross-Cutting Organizational Assessment</w:t>
      </w:r>
    </w:p>
    <w:p>
      <w:pPr>
        <w:spacing w:after="200"/>
      </w:pPr>
      <w:r>
        <w:rPr>
          <w:rFonts w:ascii="Arial" w:cs="Arial" w:eastAsia="Arial" w:hAnsi="Arial"/>
          <w:color w:val="333333"/>
          <w:sz w:val="20"/>
          <w:szCs w:val="20"/>
        </w:rPr>
        <w:t xml:space="preserve">This section establishes the organizational governance baseline: CAIO designation, AI Governance Board, AI Strategy, use-case inventory, contracting posture, authorization status, identity infrastructure, zero-trust maturity, and incident history. It maps primarily to OMB M-25-21 organizational requirements, ISO 42001 Clause 5 (Leadership), and GAO-21-519SP Governance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ORG-01</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designated a Chief AI Officer (CAIO) or equivalent senior official responsible for AI governance? If so, provide the name, title, reporting chain, and date of designation.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§3; ISO 42001 5.1; GAO-21-519SP Governance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CAIO designation memo; organizational chart showing reporting chain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ORG-02</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established an AI Governance Board or equivalent cross-functional body? If so, provide charter, membership roster, meeting cadence, and most recent meeting minutes.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§3(b); ISO 42001 5.1/A.3; NIST AI RMF GOVERN-1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AI Governance Board charter; membership roster; last three meeting minutes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ORG-03</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published an AI Strategy document on its public website? Provide the URL, date of last update, and indicate whether it has been refreshed since M-25-21 issuance (April 3, 2025).</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§2(a); EO 13960 §3; AI in Government Act §104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AI Strategy document; URL; revision history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ORG-04</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Provide the current AI Use Case Inventory. For each use case, indicate: (a) name; (b) mission area; (c) high-impact determination (yes/no/pending); (d) stage (development/pilot/production/retired); (e) foundation model(s) used; (f) data classification (public/CUI/classified).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§7; EO 13960 §5; CIO Council 2024 Guidance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AI Use Case Inventory (CSV/JSON per OMB GitHub schema); high-impact determination memos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ORG-05</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Provide a list of all AI-related contracts, task orders, and agreements currently in force, including: vendor name, contract vehicle (JWCC, OASIS+, MAS SIN, BPA, OTA), period of performance, ceiling value, and whether each contract includes AI-specific clauses (GSA AI clause, ZDR/no-train, IP rights, M-25-22 provisions).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M-25-22; FAR 27.4; DFARS 252.227-7013/-7014; GSA GSAR 552.239-7001 (draft)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Contract inventory spreadsheet; sample AI-specific clauses from each vehicle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ORG-06</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organization’s current FISMA/FedRAMP/CMMC authorization posture. How many systems hold active ATOs? How many AI workloads fall within existing authorization boundaries versus requiring new boundaries?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FISMA; FedRAMP Authorization Act; NIST 800-37 Rev 2; 32 CFR 170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eMASS or GRC system export; ATO inventory; authorization boundary diagrams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ORG-07</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completed an M-25-21 Compliance Plan? If so, provide the document. If not, describe the current compliance posture against the April 15, 2026 deadline for high-impact AI and the May 6, 2026 deadline for policy updates.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§4/§8; OMB Circular A-130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Compliance Plan document; policy update tracker; waiver memos (if any)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ORG-08</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organization’s current identity infrastructure: PIV/CAC deployment depth, FIDO2/WebAuthn rollout status, NPE credentialing approach, and any agent-identity mechanisms in place.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FIPS 201-3; OMB M-22-09; CISA ZTMM v2.0 Identity; FedRAMP 20x KSI-IAM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ICAM architecture diagram; MFA enforcement report; NPE inventory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ORG-09</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have an existing zero-trust roadmap? If DoD, provide the ZT Capability Execution Roadmap with current Target/Advanced activity completion counts. If civilian, provide the CISA ZTMM self-assessment with current maturity stage per pillar.</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DoD ZT Strategy; CISA ZTMM v2.0; OMB M-22-09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ZT roadmap document; ZTMM self-assessment; DoD RA pillar completion matrix</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ORG-10</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any AI-related incidents, near-misses, or compliance events in the past 24 months, including: prompt-injection events, model-output errors with mission impact, data-handling violations involving AI, supply-chain compromise affecting AI components, and any civil-rights or privacy complaints involving AI-assisted decisions.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800-61 Rev 3; JCDC.AI Playbook; M-25-21 §4(c)(3)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Incident reports; after-action reports; complaint records; CISA voluntary reports</w:t>
            </w:r>
          </w:p>
        </w:tc>
      </w:tr>
    </w:tbl>
    <w:p>
      <w:pPr>
        <w:spacing w:after="160"/>
      </w:pPr>
    </w:p>
    <w:p>
      <w:r>
        <w:br w:type="page"/>
      </w:r>
    </w:p>
    <w:p>
      <w:pPr>
        <w:pStyle w:val="Heading1"/>
        <w:spacing w:after="200" w:before="360"/>
      </w:pPr>
      <w:r>
        <w:rPr>
          <w:rFonts w:ascii="Arial" w:cs="Arial" w:eastAsia="Arial" w:hAnsi="Arial"/>
          <w:b/>
          <w:bCs/>
          <w:color w:val="1B3A5C"/>
          <w:sz w:val="32"/>
          <w:szCs w:val="32"/>
        </w:rPr>
        <w:t xml:space="preserve">Section 1: Governance, Security, and Privacy Baked In</w:t>
      </w:r>
    </w:p>
    <w:p>
      <w:pPr>
        <w:spacing w:after="200"/>
      </w:pPr>
      <w:r>
        <w:rPr>
          <w:rFonts w:ascii="Arial" w:cs="Arial" w:eastAsia="Arial" w:hAnsi="Arial"/>
          <w:color w:val="333333"/>
          <w:sz w:val="20"/>
          <w:szCs w:val="20"/>
        </w:rPr>
        <w:t xml:space="preserve">Pillar 1 holds that governance, security, and privacy must be properties of the system as engineered, not the documents written about it. This section evaluates: model cards, datasheets, AIBOMs/SBOMs, SDLC integration, threat modeling, PIAs, AIAs, build provenance, and acceptable-use terms. It maps primarily to NIST 800-218/218A (SSDF), NIST AI 600-1 GenAI Profile, ISO 42001 Annex A.5–A.7, and M-25-21 §4(c).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P1-01</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For each AI system in the inventory, has a model card been produced? If so, does it cover: model parameters, intended use, limitations, evaluation data, training data provenance, quantitative performance analysis, ethical considerations, and fairness assessments?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AI 600-1 MS-2.6; ISO 42001 A.6.2; Mitchell et al. 2019; M-26-04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Model cards for each deployed model; Hugging Face YAML metadata or equivalent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P1-02</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For each training dataset, has a datasheet been produced? Does it document: motivation, composition, collection process, preprocessing, recommended uses, distribution, and maintenance plan? Are there known biases, gaps, or provenance concerns?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AI 600-1 MS-2.5; ISO 42001 A.7; Gebru et al. 2021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Datasheets for datasets; data-provenance manifests; bias evaluation reports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P1-03</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produce AI Bills of Materials (AIBOMs) for its AI systems? If so, which format (CycloneDX ML-BOM, SPDX 3.0 AI Profile, other)? Are SBOMs produced for all software components? Are these signed (Sigstore/Cosign) and published to a transparency log (Rekor)?</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SR-4; NIST AI 600-1 MG-3.2; EO 14028 §4; CISA 2025 SBOM Min Elements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Sample AIBOM and SBOM files; Sigstore signing evidence; Rekor log entries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P1-04</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AI development lifecycle (SDLC) integration. Is AI threat modeling performed (MITRE ATT&amp;CK + ATLAS)? Are pre-deployment evaluation gates enforced before production release? What evaluation frameworks are used (HELM, lm-eval-harness, Inspect, DeepEval)?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800-218 SSDF PW.3; NIST 800-218A; NIST AI RMF MEASURE; ISO 42001 A.6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SDLC documentation; threat model artifacts; evaluation gate criteria; CI/CD pipeline configs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P1-05</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a Privacy Impact Assessment (PIA) been completed for each AI system that processes PII? Does the PIA address AI-specific privacy risks (data reconstruction, membership inference, prompt injection leading to PII disclosure)?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E-Gov Act §208; OMB M-03-22; NIST Privacy Framework; NIST AI 600-1 §2.6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PIAs; SORN determinations; privacy-risk analysis per AI system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P1-06</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completed an AI Impact Assessment (AIA) for each high-impact AI system per M-25-21 §4(c)(2)? Does each AIA address all seven required elements: purpose, data quality, potential impacts, timeline, cost, independent review, and risk acceptance?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§4(c)(2); ISO 42001 A.5; Canada AIA (if cross-border)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AIA documents for each high-impact system; independent-review attestations; risk-acceptance memos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P1-07</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organization’s build provenance and supply-chain integrity practices. Are builds reproducible? Is SLSA Level 2 or higher achieved? Are dependencies pinned by hash (lockfiles)? Are container images signed?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800-218 SSDF PS.3; SLSA v1.0; NIST 800-53 SA-12/SR-3/SR-4; EO 14028 §4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CI/CD pipeline configs showing signing; lockfile samples; SLSA provenance attestations; container-signing evidence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P1-08</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issued Generative AI Acceptable Use Terms per M-25-21? Do they cover: prohibited uses, data-classification restrictions, human-review requirements, output-labeling obligations, and incident-reporting procedures?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§2(b); ISO 42001 A.9.4; DoD CIO GenAI memo Aug 2023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Acceptable Use Terms document; distribution evidence; training records</w:t>
            </w:r>
          </w:p>
        </w:tc>
      </w:tr>
    </w:tbl>
    <w:p>
      <w:pPr>
        <w:spacing w:after="160"/>
      </w:pPr>
    </w:p>
    <w:p>
      <w:r>
        <w:br w:type="page"/>
      </w:r>
    </w:p>
    <w:p>
      <w:pPr>
        <w:pStyle w:val="Heading1"/>
        <w:spacing w:after="200" w:before="360"/>
      </w:pPr>
      <w:r>
        <w:rPr>
          <w:rFonts w:ascii="Arial" w:cs="Arial" w:eastAsia="Arial" w:hAnsi="Arial"/>
          <w:b/>
          <w:bCs/>
          <w:color w:val="1B3A5C"/>
          <w:sz w:val="32"/>
          <w:szCs w:val="32"/>
        </w:rPr>
        <w:t xml:space="preserve">Section 2: Assumed Breach</w:t>
      </w:r>
    </w:p>
    <w:p>
      <w:pPr>
        <w:spacing w:after="200"/>
      </w:pPr>
      <w:r>
        <w:rPr>
          <w:rFonts w:ascii="Arial" w:cs="Arial" w:eastAsia="Arial" w:hAnsi="Arial"/>
          <w:color w:val="333333"/>
          <w:sz w:val="20"/>
          <w:szCs w:val="20"/>
        </w:rPr>
        <w:t xml:space="preserve">Pillar 2 inverts defense-in-depth: the perimeter is presumed already compromised, and design optimizes for containment, detection, and response. This section evaluates: AI-specific IR plans, tabletop exercises, red-team/purple-team maturity, SIEM and detection capabilities, MTTD/MTTR baselines, containment architectures, and kill-switch capability. It maps primarily to NIST 800-61 Rev 3, CISA ZTMM Visibility &amp; Analytics, MITRE ATT&amp;CK + ATLAS, and the JCDC.AI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P2-01</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maintain an AI-specific incident response plan? Does it cover: prompt injection, model exfiltration, training-data leak, jailbreak, agent-goes-rogue, supply-chain compromise of model weights, hallucination-induced harm, and content-provenance breach?</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800-61 Rev 3; NIST 800-53 IR-1/IR-4/IR-8; JCDC.AI Playbook; ISO 42001 A.8.4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AI-specific IR plan; IR playbook with scenario runbooks; JCDC.AI participation records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P2-02</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When was the last tabletop exercise (TTX) that included an AI-specific scenario? Describe the scenario, participants, key findings, and corrective-action status. Was it designed under HSEEP doctrine?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IR-3; CISA CTEP; HSEEP; JCDC.AI TTX (June 2024, Sept 2024)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TTX after-action report (AAR); improvement plan (IP); MSEL; corrective-action tracker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P2-03</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conducted an AI red-team exercise? If so, describe: scope (prompt injection, jailbreak, model extraction, data poisoning, agent manipulation), methodology (CDAO CAIRT, METR, Apollo Research, UK AISI Inspect, CAISI), findings severity distribution, and remediation status.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AI 600-1 MS-2.7; M-25-21 §4(c)(1); DoD CDAO CAIRT; OWASP LLM Top 10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Red-team report with severity scoring; remediation tracker; evaluator credentials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P2-04</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organization’s AI-specific detection capabilities. Does the SIEM ingest: prompt logs, completion logs, tool-use events, embedding queries, RAG retrieval events? Are specialized detectors deployed for prompt injection, model extraction, and anomalous inference patterns?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SI-4/AU-2/AU-3; CISA ZTMM Visibility &amp; Analytics; MITRE ATLAS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SIEM architecture diagram; log-source inventory; detection-rule catalog; sample alerts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P2-05</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What are the organization’s current MTTD (mean time to detect) and MTTR (mean time to respond) baselines for cyber incidents? Have these been measured for AI-specific incident types?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IR-4/SI-4; CISA ZTMM v2.0 cross-cutting; FedRAMP 20x KSI-INR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MTTD/MTTR metrics; incident-metrics dashboard; trend data over 12 months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P2-06</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have AI-specific containment architectures? Describe isolation mechanisms for: agent workloads (Firecracker, gVisor, Kata, WASM), inference endpoints (microsegmentation, GPU-MIG, confidential compute), and model-weight storage (HSM-backed keys, Highly Restricted Zones per NSA guidance).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SC-7/SC-39; NSA Deploying AI Securely; CISA ZTMM Networks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Architecture diagrams showing containment layers; HSM key-management evidence; sandbox configs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P2-07</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have a kill-switch capability to disconnect AI systems from inbound connections in case of a major incident, as recommended by NSA? Has this been tested?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NSA Deploying AI Systems Securely (April 2024); NIST 800-53 IR-4(3)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Kill-switch procedure; test records; recovery-time measurements</w:t>
            </w:r>
          </w:p>
        </w:tc>
      </w:tr>
    </w:tbl>
    <w:p>
      <w:pPr>
        <w:spacing w:after="160"/>
      </w:pPr>
    </w:p>
    <w:p>
      <w:r>
        <w:br w:type="page"/>
      </w:r>
    </w:p>
    <w:p>
      <w:pPr>
        <w:pStyle w:val="Heading1"/>
        <w:spacing w:after="200" w:before="360"/>
      </w:pPr>
      <w:r>
        <w:rPr>
          <w:rFonts w:ascii="Arial" w:cs="Arial" w:eastAsia="Arial" w:hAnsi="Arial"/>
          <w:b/>
          <w:bCs/>
          <w:color w:val="1B3A5C"/>
          <w:sz w:val="32"/>
          <w:szCs w:val="32"/>
        </w:rPr>
        <w:t xml:space="preserve">Section 3: No Single Point of Failure</w:t>
      </w:r>
    </w:p>
    <w:p>
      <w:pPr>
        <w:spacing w:after="200"/>
      </w:pPr>
      <w:r>
        <w:rPr>
          <w:rFonts w:ascii="Arial" w:cs="Arial" w:eastAsia="Arial" w:hAnsi="Arial"/>
          <w:color w:val="333333"/>
          <w:sz w:val="20"/>
          <w:szCs w:val="20"/>
        </w:rPr>
        <w:t xml:space="preserve">Pillar 3 demands resilience, redundancy, and the absence of concentration risk. This section evaluates: concentration risk registers, failover plans, multi-model abstraction, separation of duties, BIA with AI dependencies, and AI-specific contingency planning. It maps primarily to NIST 800-160 Vol 2 Rev 1, NIST 800-34 Rev 1, NIST 800-53 CP/SR families, and M-25-22 vendor lock-in protections.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P3-01</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Provide the organization’s concentration risk register. For each of the following dimensions, identify the dominant vendor/provider and the percentage of AI workloads dependent on it: (a) foundation model, (b) cloud/inference provider, (c) GPU compute, (d) training dataset, (e) MLOps/tooling, (f) identity/auth, (g) evaluation provider, (h) region.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800-160 Vol 2 Diversity; NIST AI RMF MAP-4; ISO 42001 A.10; M-25-22 vendor lock-in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Concentration risk register; vendor inventory; dependency map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P3-02</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have a tested failover plan for its primary foundation-model provider? Can it switch to an alternative model (open-weights self-hosted, different commercial provider) within a defined RTO? Has this been tested?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800-34 Rev 1; NIST 800-53 CP-2/CP-4; ISO 42001 A.4.5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ISCP with AI-specific sections; failover test records; RTO/RPO measurements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P3-03</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use a multi-model abstraction layer (LiteLLM, LangChain, OpenAI-compatible endpoints, custom gateway)? Are dependencies pinned by hash in lockfiles? Is the abstraction layer itself a single point of failure?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SR-3/SR-11; NIST 800-160 Vol 2 Non-Persistence; EO 14028 §4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Architecture diagram showing abstraction layer; lockfile samples; SBOM for gateway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P3-04</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separation-of-duties controls for AI deployment. Do production model deployments require multi-party authorization? Are model-release keys protected by threshold cryptography or equivalent dual-control?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AC-5/AC-3(2)/AC-6; ISO 42001 A.3; CMMC AC domain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SoD matrix; deployment-approval workflows; key-management documentation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P3-05</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Has the organization conducted a Business Impact Analysis (BIA) that covers AI system dependencies? For each AI system, are MTD (maximum tolerable downtime), RTO (recovery time objective), and RPO (recovery point objective) defined?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800-34 Rev 1; NIST 800-53 CP-2; FEMA CPG 101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BIA document with AI entries; MTD/RTO/RPO values per system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P3-06</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maintain an Information System Contingency Plan (ISCP) that covers AI-specific scenarios (model-provider outage, GPU-compute unavailability, training-data corruption, evaluation-provider unavailability)?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800-34 Rev 1; NIST 800-53 CP-2/CP-7/CP-10; FedRAMP 20x KSI-RPL</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ISCP document; test/exercise records within past 12 months</w:t>
            </w:r>
          </w:p>
        </w:tc>
      </w:tr>
    </w:tbl>
    <w:p>
      <w:pPr>
        <w:spacing w:after="160"/>
      </w:pPr>
    </w:p>
    <w:p>
      <w:r>
        <w:br w:type="page"/>
      </w:r>
    </w:p>
    <w:p>
      <w:pPr>
        <w:pStyle w:val="Heading1"/>
        <w:spacing w:after="200" w:before="360"/>
      </w:pPr>
      <w:r>
        <w:rPr>
          <w:rFonts w:ascii="Arial" w:cs="Arial" w:eastAsia="Arial" w:hAnsi="Arial"/>
          <w:b/>
          <w:bCs/>
          <w:color w:val="1B3A5C"/>
          <w:sz w:val="32"/>
          <w:szCs w:val="32"/>
        </w:rPr>
        <w:t xml:space="preserve">Section 4: Zero Trust Throughout</w:t>
      </w:r>
    </w:p>
    <w:p>
      <w:pPr>
        <w:spacing w:after="200"/>
      </w:pPr>
      <w:r>
        <w:rPr>
          <w:rFonts w:ascii="Arial" w:cs="Arial" w:eastAsia="Arial" w:hAnsi="Arial"/>
          <w:color w:val="333333"/>
          <w:sz w:val="20"/>
          <w:szCs w:val="20"/>
        </w:rPr>
        <w:t xml:space="preserve">Pillar 4 applies never-trust-always-verify to humans, services, and AI agents. This section evaluates: CISA ZTMM maturity, phishing-resistant MFA, workload identity (SPIFFE/SPIRE), agent authorization, microsegmentation, confidential computing, and MCP security posture. It maps primarily to NIST 800-207, CISA ZTMM v2.0, DoD ZT Strategy, CAISI AI Agent Standards Initiative, and the MCP Authorization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P4-01</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organization’s current zero-trust maturity per CISA ZTMM v2.0. For each of the five pillars (Identity, Devices, Networks, Applications &amp; Workloads, Data) and three cross-cutting capabilities (Visibility &amp; Analytics, Automation &amp; Orchestration, Governance), identify the current maturity stage (Traditional / Initial / Advanced / Optimal).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CISA ZTMM v2.0; OMB M-22-09; DoD ZT Strategy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ZTMM self-assessment worksheet; DoD ZT RA pillar mapping (if DoD)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P4-02</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Is phishing-resistant MFA (FIDO2/WebAuthn or PIV/CAC) enforced for all users accessing AI systems? Are legacy MFA methods (SMS, TOTP, email, push) still permitted for any AI-adjacent systems?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OMB M-22-09; FedRAMP 20x KSI-IAM-01; NIST 800-63B AAL2+; FIPS 201-3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MFA enforcement policy; IdP configuration showing FIDO2/PIV enforcement; exception list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P4-03</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Are workload identities (SPIFFE/SPIRE SVIDs or equivalent) deployed for AI inference services, training pipelines, data-processing jobs, and agent orchestrators? What is the SVID validity period and rotation cadence?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800-207 §2; NIST 800-207A; CISA ZTMM Identity; DoD ICAM Ref Design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SPIRE Server configuration; SVID issuance logs; trust-domain federation docs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P4-04</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How are AI agents authorized to use tools, access data, and invoke external services? Is each tool invocation separately authorized via scoped OAuth tokens, capability tokens, or equivalent? Does the organization enforce per-action authorization for agentic AI workloads?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CAISI AI Agent Standards Initiative (Feb 2026 RFI); OWASP LLM06 Excessive Agency; MCP Auth Spec</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Agent authorization architecture; OAuth scope definitions; MCP server authorization configs; tool-use audit logs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P4-05</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microsegmentation posture for AI workloads. Are training clusters, inference fleets, vector databases, and agent sandboxes in separate network segments with identity-aware L3-L7 policy enforcement (Cilium, Istio, NSG)?</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SC-7; CISA ZTMM Networks; DoD ZT RA Pillar 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Network architecture diagrams; microsegmentation policy artifacts; Cilium/Istio configs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P4-06</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use confidential computing (Intel TDX, AMD SEV-SNP, NVIDIA H100/Blackwell CC) for AI inference or training workloads? If so, is remote attestation performed before key release?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SC-28; NSA Deploying AI Securely; NVIDIA NRAS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TEE configuration evidence; remote-attestation logs; key-release policy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P4-07</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For Model Context Protocol (MCP) servers in use: how many are deployed? Are they operating over HTTP (with OAuth 2.1 per spec) or STDIO? Have they been assessed against the OX Security April 2026 disclosure and the CVE-2026-30615 family? Are MCP registries/marketplaces vetted?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MCP Auth Spec (Nov 2025); OX Security disclosure; OWASP LLM Top 10 Supply Chain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MCP server inventory; OAuth configuration; CVE assessment results; registry vetting records</w:t>
            </w:r>
          </w:p>
        </w:tc>
      </w:tr>
    </w:tbl>
    <w:p>
      <w:pPr>
        <w:spacing w:after="160"/>
      </w:pPr>
    </w:p>
    <w:p>
      <w:r>
        <w:br w:type="page"/>
      </w:r>
    </w:p>
    <w:p>
      <w:pPr>
        <w:pStyle w:val="Heading1"/>
        <w:spacing w:after="200" w:before="360"/>
      </w:pPr>
      <w:r>
        <w:rPr>
          <w:rFonts w:ascii="Arial" w:cs="Arial" w:eastAsia="Arial" w:hAnsi="Arial"/>
          <w:b/>
          <w:bCs/>
          <w:color w:val="1B3A5C"/>
          <w:sz w:val="32"/>
          <w:szCs w:val="32"/>
        </w:rPr>
        <w:t xml:space="preserve">Section 5: 360 Accountability</w:t>
      </w:r>
    </w:p>
    <w:p>
      <w:pPr>
        <w:spacing w:after="200"/>
      </w:pPr>
      <w:r>
        <w:rPr>
          <w:rFonts w:ascii="Arial" w:cs="Arial" w:eastAsia="Arial" w:hAnsi="Arial"/>
          <w:color w:val="333333"/>
          <w:sz w:val="20"/>
          <w:szCs w:val="20"/>
        </w:rPr>
        <w:t xml:space="preserve">Pillar 5 holds that developer, deployer, contractor, vendor, regulator, and end-user all share auditable obligations flowing through a single evidence chain. This section evaluates: role-control responsibility matrices, evidence pipeline integrity, contractor flow-down, certifier verification, inference-log preservation, incident-disclosure pipelines, whistleblower channels, and end-user accountability primitives. It maps primarily to NIST AI RMF GOVERN-2, ISO 42001 A.3/A.8/A.10, GAO-21-519SP, FAR/DFARS flow-down, and M-25-21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P5-01</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For each AI system, has the organization mapped every entity in the value chain to one of six 360-accountability roles (developer, deployer, contractor, vendor, regulator, end-user)? Is there a role-control responsibility matrix showing which controls each role owns?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AI RMF GOVERN-2; ISO 42001 A.3; GAO-21-519SP; EU AI Act Art. 3/25/26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Role-control responsibility matrix; value-chain map per AI system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P5-02</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evidence pipeline. Are all governance artifacts (model cards, AIBOMs, SBOMs, PIAs, AIAs, assessment results, incident reports) stored in a hash-chained registry? Are they signed (Sigstore)? Are they cross-referenced via a common identifier scheme (OSCAL UUIDs)?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AU-10; SLSA v1.0; in-toto ITE-6; FedRAMP 20x OSCAL mandate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Evidence registry architecture; sample hash-chain verification; Sigstore signing evidence; OSCAL export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P5-03</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How does the organization flow down AI governance obligations to contractors and subcontractors? Are AI-specific clauses included in all AI-related contracts (ZDR/no-train, AIBOM production, evaluation participation, incident reporting, SOC 2 attestation verification)?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FAR 52.244-6; DFARS 252.204-7012/-7021; M-25-22; GSA GSAR 552.239-7001 (draft)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Sample AI contract clauses; flow-down verification records; subcontractor compliance evidence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P5-04</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verify the integrity of third-party compliance certifications (SOC 2, ISO 27001, ISO 42001, FedRAMP, CMMC) for its AI vendors? What due-diligence steps are taken beyond accepting the certification document?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SR-6; NIST AI RMF GOVERN-6; ISO 42001 A.10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Vendor due-diligence checklist; certifier verification records; bridge-letter tracking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P5-05</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maintain append-only inference and prompt logs with cryptographic checkpointing? Are these logs preserved under a litigation-hold-ready policy? Has the organization considered the implications of the NYT v. OpenAI January 2026 discovery order for its own inference logs?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AU-9/AU-11; FRE 901/902; NYT v. OpenAI MDL 3143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Logging architecture; retention policy; litigation-hold procedure; sample checkpoint verification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P5-06</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Describe the organization’s AI incident disclosure pipeline. Within what timeframes does the organization report AI incidents to: (a) the agency CAIO, (b) US-CERT/CISA, (c) JCDC.AI, (d) OMB, (e) the public, (f) EU AI Office (if applicable under Art. 73)?</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NIST 800-53 IR-6; DFARS 252.204-7012 (72-hr); EU AI Act Art. 73; M-25-21 §4(c)(3)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Incident-disclosure SOP; notification templates; past disclosure records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P5-07</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have an AI-specific whistleblower channel with NDA carve-outs preserving SEC, DoD-IG, agency-IG, and state-public-policy disclosures? Are employees trained on their right to raise AI safety or ethics concerns without retaliation?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Whistleblower Protection Act; DoD-IG Hotline; SEC 21F; Right to Warn letter (June 2024); ISO 42001 A.3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Whistleblower policy; NDA carve-out language; training records; channel access records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P5-08</w:t>
            </w:r>
          </w:p>
        </w:tc>
        <w:tc>
          <w:tcPr>
            <w:tcW w:type="dxa" w:w="816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0"/>
                <w:szCs w:val="20"/>
              </w:rPr>
              <w:t xml:space="preserve">Does the organization have an end-user accountability primitive? Do federal employees and contractors who use AI systems sign an acceptable-use agreement that includes: prohibited uses, output-verification obligations, disclosure-of-AI-use requirements, and error-reporting duties?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666666"/>
                <w:sz w:val="16"/>
                <w:szCs w:val="16"/>
              </w:rPr>
              <w:t xml:space="preserve">Maps to</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i/>
                <w:iCs/>
                <w:color w:val="555555"/>
                <w:sz w:val="16"/>
                <w:szCs w:val="16"/>
              </w:rPr>
              <w:t xml:space="preserve">M-25-21 §2(b); NIST 800-53 PL-4; ISO 42001 A.9.4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Response</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sz w:val="20"/>
                <w:szCs w:val="20"/>
              </w:rPr>
              <w:t xml:space="preserve"/>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16"/>
                <w:szCs w:val="16"/>
              </w:rPr>
              <w:t xml:space="preserve">Evidence</w:t>
            </w:r>
          </w:p>
        </w:tc>
        <w:tc>
          <w:tcPr>
            <w:tcW w:type="dxa" w:w="8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6"/>
                <w:szCs w:val="16"/>
              </w:rPr>
              <w:t xml:space="preserve">Acceptable-use agreement template; signature records; training completion rates</w:t>
            </w:r>
          </w:p>
        </w:tc>
      </w:tr>
    </w:tbl>
    <w:p>
      <w:pPr>
        <w:spacing w:after="160"/>
      </w:pPr>
    </w:p>
    <w:p>
      <w:r>
        <w:br w:type="page"/>
      </w:r>
    </w:p>
    <w:p>
      <w:pPr>
        <w:pStyle w:val="Heading1"/>
        <w:spacing w:after="200" w:before="360"/>
      </w:pPr>
      <w:r>
        <w:rPr>
          <w:rFonts w:ascii="Arial" w:cs="Arial" w:eastAsia="Arial" w:hAnsi="Arial"/>
          <w:b/>
          <w:bCs/>
          <w:color w:val="1B3A5C"/>
          <w:sz w:val="32"/>
          <w:szCs w:val="32"/>
        </w:rPr>
        <w:t xml:space="preserve">Completion and Sign-Off</w:t>
      </w:r>
    </w:p>
    <w:p>
      <w:pPr>
        <w:spacing w:after="200"/>
      </w:pPr>
      <w:r>
        <w:rPr>
          <w:sz w:val="20"/>
          <w:szCs w:val="20"/>
        </w:rPr>
        <w:t xml:space="preserve">By signing below, the responding official(s) attest that the responses provided in this questionnaire are accurate and complete to the best of their knowledge as of the date indicated, and that supporting evidence has been made available for review.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b/>
                <w:bCs/>
                <w:sz w:val="20"/>
                <w:szCs w:val="20"/>
              </w:rPr>
              <w:t xml:space="preserve">Name and Title</w:t>
            </w:r>
          </w:p>
        </w:tc>
        <w:tc>
          <w:tcPr>
            <w:tcW w:type="dxa" w:w="312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b/>
                <w:bCs/>
                <w:sz w:val="20"/>
                <w:szCs w:val="20"/>
              </w:rPr>
              <w:t xml:space="preserve">Signature</w:t>
            </w:r>
          </w:p>
        </w:tc>
        <w:tc>
          <w:tcPr>
            <w:tcW w:type="dxa" w:w="312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b/>
                <w:bCs/>
                <w:sz w:val="20"/>
                <w:szCs w:val="20"/>
              </w:rPr>
              <w:t xml:space="preserve">Date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i/>
                <w:iCs/>
                <w:color w:val="888888"/>
                <w:sz w:val="18"/>
                <w:szCs w:val="18"/>
              </w:rPr>
              <w:t xml:space="preserve">CAIO</w:t>
            </w:r>
          </w:p>
          <w:p>
            <w:r>
              <w:rPr>
                <w:sz w:val="20"/>
                <w:szCs w:val="20"/>
              </w:rPr>
              <w:t xml:space="preserve"/>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i/>
                <w:iCs/>
                <w:color w:val="888888"/>
                <w:sz w:val="18"/>
                <w:szCs w:val="18"/>
              </w:rPr>
              <w:t xml:space="preserve">CISO</w:t>
            </w:r>
          </w:p>
          <w:p>
            <w:r>
              <w:rPr>
                <w:sz w:val="20"/>
                <w:szCs w:val="20"/>
              </w:rPr>
              <w:t xml:space="preserve"/>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i/>
                <w:iCs/>
                <w:color w:val="888888"/>
                <w:sz w:val="18"/>
                <w:szCs w:val="18"/>
              </w:rPr>
              <w:t xml:space="preserve">CIO</w:t>
            </w:r>
          </w:p>
          <w:p>
            <w:r>
              <w:rPr>
                <w:sz w:val="20"/>
                <w:szCs w:val="20"/>
              </w:rPr>
              <w:t xml:space="preserve"/>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i/>
                <w:iCs/>
                <w:color w:val="888888"/>
                <w:sz w:val="18"/>
                <w:szCs w:val="18"/>
              </w:rPr>
              <w:t xml:space="preserve">Privacy Officer</w:t>
            </w:r>
          </w:p>
          <w:p>
            <w:r>
              <w:rPr>
                <w:sz w:val="20"/>
                <w:szCs w:val="20"/>
              </w:rPr>
              <w:t xml:space="preserve"/>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i/>
                <w:iCs/>
                <w:color w:val="888888"/>
                <w:sz w:val="18"/>
                <w:szCs w:val="18"/>
              </w:rPr>
              <w:t xml:space="preserve">AI Program Lead</w:t>
            </w:r>
          </w:p>
          <w:p>
            <w:r>
              <w:rPr>
                <w:sz w:val="20"/>
                <w:szCs w:val="20"/>
              </w:rPr>
              <w:t xml:space="preserve"/>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
            </w:r>
          </w:p>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6"/>
        <w:szCs w:val="16"/>
      </w:rPr>
      <w:t xml:space="preserve">Five-Pillar AI Governance Framework —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2026-05-04T18:12:08.236Z</dcterms:created>
  <dcterms:modified xsi:type="dcterms:W3CDTF">2026-05-04T18:12:08.237Z</dcterms:modified>
</cp:coreProperties>
</file>

<file path=docProps/custom.xml><?xml version="1.0" encoding="utf-8"?>
<Properties xmlns="http://schemas.openxmlformats.org/officeDocument/2006/custom-properties" xmlns:vt="http://schemas.openxmlformats.org/officeDocument/2006/docPropsVTypes"/>
</file>