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Batch 024 Sequential Review: Chapters 446–465</w:t>
      </w:r>
    </w:p>
    <w:p>
      <w:pPr>
        <w:pStyle w:val="Heading1"/>
      </w:pPr>
      <w:r>
        <w:t>1. Scope and method</w:t>
      </w:r>
    </w:p>
    <w:p>
      <w:pPr>
        <w:pStyle w:val="ListBullet"/>
      </w:pPr>
      <w:r>
        <w:t>Chapters 446–465 of the 2,334-chapter corpus, read in full in sequence from the Gu-Zhen-Ren EPUB (source of record).</w:t>
      </w:r>
    </w:p>
    <w:p>
      <w:pPr>
        <w:pStyle w:val="ListBullet"/>
      </w:pPr>
      <w:r>
        <w:t>20 chapters, 1,738 paragraphs, 63,053 characters. Counts verified against batch-024-source.json.</w:t>
      </w:r>
    </w:p>
    <w:p>
      <w:pPr>
        <w:pStyle w:val="ListBullet"/>
      </w:pPr>
      <w:r>
        <w:t>Each paragraph was read through read_batch024.py. No paragraphs were skipped.</w:t>
      </w:r>
    </w:p>
    <w:p>
      <w:pPr>
        <w:pStyle w:val="ListBullet"/>
      </w:pPr>
      <w:r>
        <w:t>Numbered source: Batch-024-Numbered-Chinese-Source.md, one line per paragraph in chapter.paragraph form.</w:t>
      </w:r>
    </w:p>
    <w:p>
      <w:pPr>
        <w:pStyle w:val="ListBullet"/>
      </w:pPr>
      <w:r>
        <w:t>Proposals are source-internal. None are approved or applied. Publication status remains HOLD until whole-novel reconciliation and external collation are complete.</w:t>
      </w:r>
    </w:p>
    <w:p>
      <w:pPr>
        <w:pStyle w:val="Heading1"/>
      </w:pPr>
      <w:r>
        <w:t>2. Content summary</w:t>
      </w:r>
    </w:p>
    <w:p>
      <w:pPr>
        <w:pStyle w:val="ListBullet"/>
      </w:pPr>
      <w:r>
        <w:t>446–457: The 葛家 encounter with the wolf packs. The Gao family alliance with Chang Shanyin; wolf-king tactics; the defence of the 葛家 camp and the death of the Gao patriarch in 458.</w:t>
      </w:r>
    </w:p>
    <w:p>
      <w:pPr>
        <w:pStyle w:val="ListBullet"/>
      </w:pPr>
      <w:r>
        <w:t>458: 葛家老族长 dies. Chang Shanyin takes the Night Wolf King with 驭狼蛊 and 狼烟蛊. Mo Tu learns of the failure and plans a third wind-wolf attack. The wolf force reaches 三万五.</w:t>
      </w:r>
    </w:p>
    <w:p>
      <w:pPr>
        <w:pStyle w:val="ListBullet"/>
      </w:pPr>
      <w:r>
        <w:t>459–460: The 月牙湖 journey. The lake site, the 鬼王 and 红玉散人 party, the 花海三仙 and the 地灵 of the 琅琊福地.</w:t>
      </w:r>
    </w:p>
    <w:p>
      <w:pPr>
        <w:pStyle w:val="ListBullet"/>
      </w:pPr>
      <w:r>
        <w:t>461: The 三尊说 and Ma Hongyun's past passage through the 石林 into the 琅琊福地.</w:t>
      </w:r>
    </w:p>
    <w:p>
      <w:pPr>
        <w:pStyle w:val="ListBullet"/>
      </w:pPr>
      <w:r>
        <w:t>462–463: Fang Yuan trades with the 地灵 for the 星门蛊 and related Gu, and learns about 天元宝皇莲 and the 十二云阁.</w:t>
      </w:r>
    </w:p>
    <w:p>
      <w:pPr>
        <w:pStyle w:val="ListBullet"/>
      </w:pPr>
      <w:r>
        <w:t>464–465: The five 仙 are captured and forced to craft 星门蛊. Fang Yuan uses 涸泽蛊 and 推杯换盏蛊 to send the 通天蛊 to the fox immortal. He returns through the 星门.</w:t>
      </w:r>
    </w:p>
    <w:p>
      <w:pPr>
        <w:pStyle w:val="Heading1"/>
      </w:pPr>
      <w:r>
        <w:t>3. Proposals SR-209 to SR-232</w:t>
      </w:r>
    </w:p>
    <w:p>
      <w:r>
        <w:t>All proposals are held. None are approved. Confidence is calibrated to the evidence in the source; no external witness was checked for this batch.</w:t>
      </w:r>
    </w:p>
    <w:p>
      <w:pPr>
        <w:pStyle w:val="Heading2"/>
      </w:pPr>
      <w:r>
        <w:t>3.1 Typographical repairs (candidates)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Location</w:t>
            </w:r>
          </w:p>
        </w:tc>
        <w:tc>
          <w:tcPr>
            <w:tcW w:type="dxa" w:w="1440"/>
          </w:tcPr>
          <w:p>
            <w:r>
              <w:t>Current</w:t>
            </w:r>
          </w:p>
        </w:tc>
        <w:tc>
          <w:tcPr>
            <w:tcW w:type="dxa" w:w="1440"/>
          </w:tcPr>
          <w:p>
            <w:r>
              <w:t>Proposed</w:t>
            </w:r>
          </w:p>
        </w:tc>
        <w:tc>
          <w:tcPr>
            <w:tcW w:type="dxa" w:w="1440"/>
          </w:tcPr>
          <w:p>
            <w:r>
              <w:t>Confidence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SR-209</w:t>
            </w:r>
          </w:p>
        </w:tc>
        <w:tc>
          <w:tcPr>
            <w:tcW w:type="dxa" w:w="1440"/>
          </w:tcPr>
          <w:p>
            <w:r>
              <w:t>447p67</w:t>
            </w:r>
          </w:p>
        </w:tc>
        <w:tc>
          <w:tcPr>
            <w:tcW w:type="dxa" w:w="1440"/>
          </w:tcPr>
          <w:p>
            <w:r>
              <w:t>说得痛</w:t>
            </w:r>
          </w:p>
        </w:tc>
        <w:tc>
          <w:tcPr>
            <w:tcW w:type="dxa" w:w="1440"/>
          </w:tcPr>
          <w:p>
            <w:r>
              <w:t>说得通</w:t>
            </w:r>
          </w:p>
        </w:tc>
        <w:tc>
          <w:tcPr>
            <w:tcW w:type="dxa" w:w="1440"/>
          </w:tcPr>
          <w:p>
            <w:r>
              <w:t>High (0.9)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SR-210</w:t>
            </w:r>
          </w:p>
        </w:tc>
        <w:tc>
          <w:tcPr>
            <w:tcW w:type="dxa" w:w="1440"/>
          </w:tcPr>
          <w:p>
            <w:r>
              <w:t>447p72</w:t>
            </w:r>
          </w:p>
        </w:tc>
        <w:tc>
          <w:tcPr>
            <w:tcW w:type="dxa" w:w="1440"/>
          </w:tcPr>
          <w:p>
            <w:r>
              <w:t>向要查清楚</w:t>
            </w:r>
          </w:p>
        </w:tc>
        <w:tc>
          <w:tcPr>
            <w:tcW w:type="dxa" w:w="1440"/>
          </w:tcPr>
          <w:p>
            <w:r>
              <w:t>想要查清楚</w:t>
            </w:r>
          </w:p>
        </w:tc>
        <w:tc>
          <w:tcPr>
            <w:tcW w:type="dxa" w:w="1440"/>
          </w:tcPr>
          <w:p>
            <w:r>
              <w:t>High (0.9)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SR-211</w:t>
            </w:r>
          </w:p>
        </w:tc>
        <w:tc>
          <w:tcPr>
            <w:tcW w:type="dxa" w:w="1440"/>
          </w:tcPr>
          <w:p>
            <w:r>
              <w:t>448p3</w:t>
            </w:r>
          </w:p>
        </w:tc>
        <w:tc>
          <w:tcPr>
            <w:tcW w:type="dxa" w:w="1440"/>
          </w:tcPr>
          <w:p>
            <w:r>
              <w:t>但为什么们没有仙蛊</w:t>
            </w:r>
          </w:p>
        </w:tc>
        <w:tc>
          <w:tcPr>
            <w:tcW w:type="dxa" w:w="1440"/>
          </w:tcPr>
          <w:p>
            <w:r>
              <w:t>但为什么没有仙蛊</w:t>
            </w:r>
          </w:p>
        </w:tc>
        <w:tc>
          <w:tcPr>
            <w:tcW w:type="dxa" w:w="1440"/>
          </w:tcPr>
          <w:p>
            <w:r>
              <w:t>High (0.9)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SR-212</w:t>
            </w:r>
          </w:p>
        </w:tc>
        <w:tc>
          <w:tcPr>
            <w:tcW w:type="dxa" w:w="1440"/>
          </w:tcPr>
          <w:p>
            <w:r>
              <w:t>452p36</w:t>
            </w:r>
          </w:p>
        </w:tc>
        <w:tc>
          <w:tcPr>
            <w:tcW w:type="dxa" w:w="1440"/>
          </w:tcPr>
          <w:p>
            <w:r>
              <w:t>又脸抬起来</w:t>
            </w:r>
          </w:p>
        </w:tc>
        <w:tc>
          <w:tcPr>
            <w:tcW w:type="dxa" w:w="1440"/>
          </w:tcPr>
          <w:p>
            <w:r>
              <w:t>又抬起脸来</w:t>
            </w:r>
          </w:p>
        </w:tc>
        <w:tc>
          <w:tcPr>
            <w:tcW w:type="dxa" w:w="1440"/>
          </w:tcPr>
          <w:p>
            <w:r>
              <w:t>Moderate-high (0.8)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SR-213</w:t>
            </w:r>
          </w:p>
        </w:tc>
        <w:tc>
          <w:tcPr>
            <w:tcW w:type="dxa" w:w="1440"/>
          </w:tcPr>
          <w:p>
            <w:r>
              <w:t>452p84</w:t>
            </w:r>
          </w:p>
        </w:tc>
        <w:tc>
          <w:tcPr>
            <w:tcW w:type="dxa" w:w="1440"/>
          </w:tcPr>
          <w:p>
            <w:r>
              <w:t>大多是都是</w:t>
            </w:r>
          </w:p>
        </w:tc>
        <w:tc>
          <w:tcPr>
            <w:tcW w:type="dxa" w:w="1440"/>
          </w:tcPr>
          <w:p>
            <w:r>
              <w:t>大多是</w:t>
            </w:r>
          </w:p>
        </w:tc>
        <w:tc>
          <w:tcPr>
            <w:tcW w:type="dxa" w:w="1440"/>
          </w:tcPr>
          <w:p>
            <w:r>
              <w:t>High (0.85)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SR-215</w:t>
            </w:r>
          </w:p>
        </w:tc>
        <w:tc>
          <w:tcPr>
            <w:tcW w:type="dxa" w:w="1440"/>
          </w:tcPr>
          <w:p>
            <w:r>
              <w:t>453p44</w:t>
            </w:r>
          </w:p>
        </w:tc>
        <w:tc>
          <w:tcPr>
            <w:tcW w:type="dxa" w:w="1440"/>
          </w:tcPr>
          <w:p>
            <w:r>
              <w:t>普通水浪</w:t>
            </w:r>
          </w:p>
        </w:tc>
        <w:tc>
          <w:tcPr>
            <w:tcW w:type="dxa" w:w="1440"/>
          </w:tcPr>
          <w:p>
            <w:r>
              <w:t>普通水狼</w:t>
            </w:r>
          </w:p>
        </w:tc>
        <w:tc>
          <w:tcPr>
            <w:tcW w:type="dxa" w:w="1440"/>
          </w:tcPr>
          <w:p>
            <w:r>
              <w:t>High (0.85)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SR-216</w:t>
            </w:r>
          </w:p>
        </w:tc>
        <w:tc>
          <w:tcPr>
            <w:tcW w:type="dxa" w:w="1440"/>
          </w:tcPr>
          <w:p>
            <w:r>
              <w:t>454p82</w:t>
            </w:r>
          </w:p>
        </w:tc>
        <w:tc>
          <w:tcPr>
            <w:tcW w:type="dxa" w:w="1440"/>
          </w:tcPr>
          <w:p>
            <w:r>
              <w:t>和方源计划的一眼</w:t>
            </w:r>
          </w:p>
        </w:tc>
        <w:tc>
          <w:tcPr>
            <w:tcW w:type="dxa" w:w="1440"/>
          </w:tcPr>
          <w:p>
            <w:r>
              <w:t>和方源计划的一样</w:t>
            </w:r>
          </w:p>
        </w:tc>
        <w:tc>
          <w:tcPr>
            <w:tcW w:type="dxa" w:w="1440"/>
          </w:tcPr>
          <w:p>
            <w:r>
              <w:t>High (0.85)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SR-217</w:t>
            </w:r>
          </w:p>
        </w:tc>
        <w:tc>
          <w:tcPr>
            <w:tcW w:type="dxa" w:w="1440"/>
          </w:tcPr>
          <w:p>
            <w:r>
              <w:t>456p19</w:t>
            </w:r>
          </w:p>
        </w:tc>
        <w:tc>
          <w:tcPr>
            <w:tcW w:type="dxa" w:w="1440"/>
          </w:tcPr>
          <w:p>
            <w:r>
              <w:t>耳女</w:t>
            </w:r>
          </w:p>
        </w:tc>
        <w:tc>
          <w:tcPr>
            <w:tcW w:type="dxa" w:w="1440"/>
          </w:tcPr>
          <w:p>
            <w:r>
              <w:t>儿女</w:t>
            </w:r>
          </w:p>
        </w:tc>
        <w:tc>
          <w:tcPr>
            <w:tcW w:type="dxa" w:w="1440"/>
          </w:tcPr>
          <w:p>
            <w:r>
              <w:t>High (0.9)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SR-218</w:t>
            </w:r>
          </w:p>
        </w:tc>
        <w:tc>
          <w:tcPr>
            <w:tcW w:type="dxa" w:w="1440"/>
          </w:tcPr>
          <w:p>
            <w:r>
              <w:t>459p34</w:t>
            </w:r>
          </w:p>
        </w:tc>
        <w:tc>
          <w:tcPr>
            <w:tcW w:type="dxa" w:w="1440"/>
          </w:tcPr>
          <w:p>
            <w:r>
              <w:t>剩下着两只</w:t>
            </w:r>
          </w:p>
        </w:tc>
        <w:tc>
          <w:tcPr>
            <w:tcW w:type="dxa" w:w="1440"/>
          </w:tcPr>
          <w:p>
            <w:r>
              <w:t>剩下两只</w:t>
            </w:r>
          </w:p>
        </w:tc>
        <w:tc>
          <w:tcPr>
            <w:tcW w:type="dxa" w:w="1440"/>
          </w:tcPr>
          <w:p>
            <w:r>
              <w:t>High (0.85)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SR-219</w:t>
            </w:r>
          </w:p>
        </w:tc>
        <w:tc>
          <w:tcPr>
            <w:tcW w:type="dxa" w:w="1440"/>
          </w:tcPr>
          <w:p>
            <w:r>
              <w:t>462p56</w:t>
            </w:r>
          </w:p>
        </w:tc>
        <w:tc>
          <w:tcPr>
            <w:tcW w:type="dxa" w:w="1440"/>
          </w:tcPr>
          <w:p>
            <w:r>
              <w:t>带会狐仙福地</w:t>
            </w:r>
          </w:p>
        </w:tc>
        <w:tc>
          <w:tcPr>
            <w:tcW w:type="dxa" w:w="1440"/>
          </w:tcPr>
          <w:p>
            <w:r>
              <w:t>带回狐仙福地</w:t>
            </w:r>
          </w:p>
        </w:tc>
        <w:tc>
          <w:tcPr>
            <w:tcW w:type="dxa" w:w="1440"/>
          </w:tcPr>
          <w:p>
            <w:r>
              <w:t>Moderate-high (0.8)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  <w:tr>
        <w:tc>
          <w:tcPr>
            <w:tcW w:type="dxa" w:w="1440"/>
          </w:tcPr>
          <w:p>
            <w:r>
              <w:t>SR-220</w:t>
            </w:r>
          </w:p>
        </w:tc>
        <w:tc>
          <w:tcPr>
            <w:tcW w:type="dxa" w:w="1440"/>
          </w:tcPr>
          <w:p>
            <w:r>
              <w:t>465p95</w:t>
            </w:r>
          </w:p>
        </w:tc>
        <w:tc>
          <w:tcPr>
            <w:tcW w:type="dxa" w:w="1440"/>
          </w:tcPr>
          <w:p>
            <w:r>
              <w:t>小脑地</w:t>
            </w:r>
          </w:p>
        </w:tc>
        <w:tc>
          <w:tcPr>
            <w:tcW w:type="dxa" w:w="1440"/>
          </w:tcPr>
          <w:p>
            <w:r>
              <w:t>小脑袋</w:t>
            </w:r>
          </w:p>
        </w:tc>
        <w:tc>
          <w:tcPr>
            <w:tcW w:type="dxa" w:w="1440"/>
          </w:tcPr>
          <w:p>
            <w:r>
              <w:t>Moderate-high (0.8)</w:t>
            </w:r>
          </w:p>
        </w:tc>
        <w:tc>
          <w:tcPr>
            <w:tcW w:type="dxa" w:w="1440"/>
          </w:tcPr>
          <w:p>
            <w:r>
              <w:t>Held repair candidate</w:t>
            </w:r>
          </w:p>
        </w:tc>
      </w:tr>
    </w:tbl>
    <w:p>
      <w:pPr>
        <w:pStyle w:val="Heading2"/>
      </w:pPr>
      <w:r>
        <w:t>3.2 Wording and name-register candidates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Location</w:t>
            </w:r>
          </w:p>
        </w:tc>
        <w:tc>
          <w:tcPr>
            <w:tcW w:type="dxa" w:w="1440"/>
          </w:tcPr>
          <w:p>
            <w:r>
              <w:t>Issue</w:t>
            </w:r>
          </w:p>
        </w:tc>
        <w:tc>
          <w:tcPr>
            <w:tcW w:type="dxa" w:w="1440"/>
          </w:tcPr>
          <w:p>
            <w:r>
              <w:t>Proposed action</w:t>
            </w:r>
          </w:p>
        </w:tc>
        <w:tc>
          <w:tcPr>
            <w:tcW w:type="dxa" w:w="1440"/>
          </w:tcPr>
          <w:p>
            <w:r>
              <w:t>Confidence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SR-214</w:t>
            </w:r>
          </w:p>
        </w:tc>
        <w:tc>
          <w:tcPr>
            <w:tcW w:type="dxa" w:w="1440"/>
          </w:tcPr>
          <w:p>
            <w:r>
              <w:t>452p27</w:t>
            </w:r>
          </w:p>
        </w:tc>
        <w:tc>
          <w:tcPr>
            <w:tcW w:type="dxa" w:w="1440"/>
          </w:tcPr>
          <w:p>
            <w:r>
              <w:t>不愿被奴隶</w:t>
            </w:r>
          </w:p>
        </w:tc>
        <w:tc>
          <w:tcPr>
            <w:tcW w:type="dxa" w:w="1440"/>
          </w:tcPr>
          <w:p>
            <w:r>
              <w:t>不愿被奴役 (parallels SR-186)</w:t>
            </w:r>
          </w:p>
        </w:tc>
        <w:tc>
          <w:tcPr>
            <w:tcW w:type="dxa" w:w="1440"/>
          </w:tcPr>
          <w:p>
            <w:r>
              <w:t>Moderate (0.7)</w:t>
            </w:r>
          </w:p>
        </w:tc>
        <w:tc>
          <w:tcPr>
            <w:tcW w:type="dxa" w:w="1440"/>
          </w:tcPr>
          <w:p>
            <w:r>
              <w:t>Held; check against SR-186 witness</w:t>
            </w:r>
          </w:p>
        </w:tc>
      </w:tr>
      <w:tr>
        <w:tc>
          <w:tcPr>
            <w:tcW w:type="dxa" w:w="1440"/>
          </w:tcPr>
          <w:p>
            <w:r>
              <w:t>SR-222</w:t>
            </w:r>
          </w:p>
        </w:tc>
        <w:tc>
          <w:tcPr>
            <w:tcW w:type="dxa" w:w="1440"/>
          </w:tcPr>
          <w:p>
            <w:r>
              <w:t>457p66, 457p78 vs 457p12–13</w:t>
            </w:r>
          </w:p>
        </w:tc>
        <w:tc>
          <w:tcPr>
            <w:tcW w:type="dxa" w:w="1440"/>
          </w:tcPr>
          <w:p>
            <w:r>
              <w:t>学堂家老 vs 战堂家老</w:t>
            </w:r>
          </w:p>
        </w:tc>
        <w:tc>
          <w:tcPr>
            <w:tcW w:type="dxa" w:w="1440"/>
          </w:tcPr>
          <w:p>
            <w:r>
              <w:t>Unify to 战堂家老</w:t>
            </w:r>
          </w:p>
        </w:tc>
        <w:tc>
          <w:tcPr>
            <w:tcW w:type="dxa" w:w="1440"/>
          </w:tcPr>
          <w:p>
            <w:r>
              <w:t>High (0.8)</w:t>
            </w:r>
          </w:p>
        </w:tc>
        <w:tc>
          <w:tcPr>
            <w:tcW w:type="dxa" w:w="1440"/>
          </w:tcPr>
          <w:p>
            <w:r>
              <w:t>Held; check 450–456 office name first</w:t>
            </w:r>
          </w:p>
        </w:tc>
      </w:tr>
    </w:tbl>
    <w:p>
      <w:pPr>
        <w:pStyle w:val="Heading2"/>
      </w:pPr>
      <w:r>
        <w:t>3.3 Queries (no repair proposed yet)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</w:tr>
      <w:tr>
        <w:tc>
          <w:tcPr>
            <w:tcW w:type="dxa" w:w="2880"/>
          </w:tcPr>
          <w:p>
            <w:r>
              <w:t>SR-221</w:t>
            </w:r>
          </w:p>
        </w:tc>
        <w:tc>
          <w:tcPr>
            <w:tcW w:type="dxa" w:w="2880"/>
          </w:tcPr>
          <w:p>
            <w:r>
              <w:t>465p88</w:t>
            </w:r>
          </w:p>
        </w:tc>
        <w:tc>
          <w:tcPr>
            <w:tcW w:type="dxa" w:w="2880"/>
          </w:tcPr>
          <w:p>
            <w:r>
              <w:t>圆形攻门: possible slip for 星门 (see 465p92). Low to moderate (0.4).</w:t>
            </w:r>
          </w:p>
        </w:tc>
      </w:tr>
      <w:tr>
        <w:tc>
          <w:tcPr>
            <w:tcW w:type="dxa" w:w="2880"/>
          </w:tcPr>
          <w:p>
            <w:r>
              <w:t>SR-223</w:t>
            </w:r>
          </w:p>
        </w:tc>
        <w:tc>
          <w:tcPr>
            <w:tcW w:type="dxa" w:w="2880"/>
          </w:tcPr>
          <w:p>
            <w:r>
              <w:t>448p8</w:t>
            </w:r>
          </w:p>
        </w:tc>
        <w:tc>
          <w:tcPr>
            <w:tcW w:type="dxa" w:w="2880"/>
          </w:tcPr>
          <w:p>
            <w:r>
              <w:t>铁棺蛊 vs 433 铁柜蛊. Which name is the register form? Moderate (0.5).</w:t>
            </w:r>
          </w:p>
        </w:tc>
      </w:tr>
      <w:tr>
        <w:tc>
          <w:tcPr>
            <w:tcW w:type="dxa" w:w="2880"/>
          </w:tcPr>
          <w:p>
            <w:r>
              <w:t>SR-224</w:t>
            </w:r>
          </w:p>
        </w:tc>
        <w:tc>
          <w:tcPr>
            <w:tcW w:type="dxa" w:w="2880"/>
          </w:tcPr>
          <w:p>
            <w:r>
              <w:t>457p43</w:t>
            </w:r>
          </w:p>
        </w:tc>
        <w:tc>
          <w:tcPr>
            <w:tcW w:type="dxa" w:w="2880"/>
          </w:tcPr>
          <w:p>
            <w:r>
              <w:t>鬼炎蛊 and 鬼焱蛊 in one paragraph: distinct Gu or one name in two spellings? Moderate (0.5).</w:t>
            </w:r>
          </w:p>
        </w:tc>
      </w:tr>
      <w:tr>
        <w:tc>
          <w:tcPr>
            <w:tcW w:type="dxa" w:w="2880"/>
          </w:tcPr>
          <w:p>
            <w:r>
              <w:t>SR-225</w:t>
            </w:r>
          </w:p>
        </w:tc>
        <w:tc>
          <w:tcPr>
            <w:tcW w:type="dxa" w:w="2880"/>
          </w:tcPr>
          <w:p>
            <w:r>
              <w:t>456p18</w:t>
            </w:r>
          </w:p>
        </w:tc>
        <w:tc>
          <w:tcPr>
            <w:tcW w:type="dxa" w:w="2880"/>
          </w:tcPr>
          <w:p>
            <w:r>
              <w:t>舌战春雷 is not a known idiom. Low (0.4).</w:t>
            </w:r>
          </w:p>
        </w:tc>
      </w:tr>
      <w:tr>
        <w:tc>
          <w:tcPr>
            <w:tcW w:type="dxa" w:w="2880"/>
          </w:tcPr>
          <w:p>
            <w:r>
              <w:t>SR-226</w:t>
            </w:r>
          </w:p>
        </w:tc>
        <w:tc>
          <w:tcPr>
            <w:tcW w:type="dxa" w:w="2880"/>
          </w:tcPr>
          <w:p>
            <w:r>
              <w:t>453p13 vs 454p14</w:t>
            </w:r>
          </w:p>
        </w:tc>
        <w:tc>
          <w:tcPr>
            <w:tcW w:type="dxa" w:w="2880"/>
          </w:tcPr>
          <w:p>
            <w:r>
              <w:t>千狼王 count: 453p13 gives four; 454p14 implies five before three more, for eight. Query (0.5).</w:t>
            </w:r>
          </w:p>
        </w:tc>
      </w:tr>
      <w:tr>
        <w:tc>
          <w:tcPr>
            <w:tcW w:type="dxa" w:w="2880"/>
          </w:tcPr>
          <w:p>
            <w:r>
              <w:t>SR-227</w:t>
            </w:r>
          </w:p>
        </w:tc>
        <w:tc>
          <w:tcPr>
            <w:tcW w:type="dxa" w:w="2880"/>
          </w:tcPr>
          <w:p>
            <w:r>
              <w:t>443p30 vs 454p74, 459p34, 459p55</w:t>
            </w:r>
          </w:p>
        </w:tc>
        <w:tc>
          <w:tcPr>
            <w:tcW w:type="dxa" w:w="2880"/>
          </w:tcPr>
          <w:p>
            <w:r>
              <w:t>Ten-jun strength Gu count. Later chapters agree on three uses (thirty jun); 443p30 gives twenty. This links to SR-203 and is the stronger signal. Query (0.6 that 443p30 needs revision).</w:t>
            </w:r>
          </w:p>
        </w:tc>
      </w:tr>
      <w:tr>
        <w:tc>
          <w:tcPr>
            <w:tcW w:type="dxa" w:w="2880"/>
          </w:tcPr>
          <w:p>
            <w:r>
              <w:t>SR-228</w:t>
            </w:r>
          </w:p>
        </w:tc>
        <w:tc>
          <w:tcPr>
            <w:tcW w:type="dxa" w:w="2880"/>
          </w:tcPr>
          <w:p>
            <w:r>
              <w:t>458p80</w:t>
            </w:r>
          </w:p>
        </w:tc>
        <w:tc>
          <w:tcPr>
            <w:tcW w:type="dxa" w:w="2880"/>
          </w:tcPr>
          <w:p>
            <w:r>
              <w:t>三王两千头 does not give a clear wolf count. Low (0.4).</w:t>
            </w:r>
          </w:p>
        </w:tc>
      </w:tr>
      <w:tr>
        <w:tc>
          <w:tcPr>
            <w:tcW w:type="dxa" w:w="2880"/>
          </w:tcPr>
          <w:p>
            <w:r>
              <w:t>SR-229</w:t>
            </w:r>
          </w:p>
        </w:tc>
        <w:tc>
          <w:tcPr>
            <w:tcW w:type="dxa" w:w="2880"/>
          </w:tcPr>
          <w:p>
            <w:r>
              <w:t>461p35–38, 461p71</w:t>
            </w:r>
          </w:p>
        </w:tc>
        <w:tc>
          <w:tcPr>
            <w:tcW w:type="dxa" w:w="2880"/>
          </w:tcPr>
          <w:p>
            <w:r>
              <w:t>Time anchors: 五百年前世 and 距今十几年后 mix a past-life frame with a present anchor. Need one frame; link to 441p50 (Ma Hongyun about thirteen). Query (0.5).</w:t>
            </w:r>
          </w:p>
        </w:tc>
      </w:tr>
      <w:tr>
        <w:tc>
          <w:tcPr>
            <w:tcW w:type="dxa" w:w="2880"/>
          </w:tcPr>
          <w:p>
            <w:r>
              <w:t>SR-230</w:t>
            </w:r>
          </w:p>
        </w:tc>
        <w:tc>
          <w:tcPr>
            <w:tcW w:type="dxa" w:w="2880"/>
          </w:tcPr>
          <w:p>
            <w:r>
              <w:t>463p14</w:t>
            </w:r>
          </w:p>
        </w:tc>
        <w:tc>
          <w:tcPr>
            <w:tcW w:type="dxa" w:w="2880"/>
          </w:tcPr>
          <w:p>
            <w:r>
              <w:t>凤九歌 is said to have died at 琅琊福地. Strong claim; check against the whole-novel record. Query (0.5).</w:t>
            </w:r>
          </w:p>
        </w:tc>
      </w:tr>
      <w:tr>
        <w:tc>
          <w:tcPr>
            <w:tcW w:type="dxa" w:w="2880"/>
          </w:tcPr>
          <w:p>
            <w:r>
              <w:t>SR-231</w:t>
            </w:r>
          </w:p>
        </w:tc>
        <w:tc>
          <w:tcPr>
            <w:tcW w:type="dxa" w:w="2880"/>
          </w:tcPr>
          <w:p>
            <w:r>
              <w:t>462p55</w:t>
            </w:r>
          </w:p>
        </w:tc>
        <w:tc>
          <w:tcPr>
            <w:tcW w:type="dxa" w:w="2880"/>
          </w:tcPr>
          <w:p>
            <w:r>
              <w:t>地灵小狐仙 may conflate two entities; the referent may be 小狐仙. Low to moderate (0.5).</w:t>
            </w:r>
          </w:p>
        </w:tc>
      </w:tr>
      <w:tr>
        <w:tc>
          <w:tcPr>
            <w:tcW w:type="dxa" w:w="2880"/>
          </w:tcPr>
          <w:p>
            <w:r>
              <w:t>SR-232</w:t>
            </w:r>
          </w:p>
        </w:tc>
        <w:tc>
          <w:tcPr>
            <w:tcW w:type="dxa" w:w="2880"/>
          </w:tcPr>
          <w:p>
            <w:r>
              <w:t>450p65</w:t>
            </w:r>
          </w:p>
        </w:tc>
        <w:tc>
          <w:tcPr>
            <w:tcW w:type="dxa" w:w="2880"/>
          </w:tcPr>
          <w:p>
            <w:r>
              <w:t>Soul-strength description to cross-check with 437–443 and 458p7. Low (0.3).</w:t>
            </w:r>
          </w:p>
        </w:tc>
      </w:tr>
    </w:tbl>
    <w:p>
      <w:pPr>
        <w:pStyle w:val="Heading1"/>
      </w:pPr>
      <w:r>
        <w:t>4. Notes not in the ledger</w:t>
      </w:r>
    </w:p>
    <w:p>
      <w:pPr>
        <w:pStyle w:val="ListBullet"/>
      </w:pPr>
      <w:r>
        <w:t>456p68: 人尽可夫的婊子 is a strong register term. It is source text and not a repair candidate. Noted for the register check only.</w:t>
      </w:r>
    </w:p>
    <w:p>
      <w:pPr>
        <w:pStyle w:val="ListBullet"/>
      </w:pPr>
      <w:r>
        <w:t>446p2–p88 and 449p4: chronology notes for the whole-novel pass. No specific proposal yet.</w:t>
      </w:r>
    </w:p>
    <w:p>
      <w:pPr>
        <w:pStyle w:val="ListBullet"/>
      </w:pPr>
      <w:r>
        <w:t>464p46 and 465p27: the 36-to-1 time ratio between 琅琊福地 and the outside is internally consistent. Not a proposal.</w:t>
      </w:r>
    </w:p>
    <w:p>
      <w:pPr>
        <w:pStyle w:val="ListBullet"/>
      </w:pPr>
      <w:r>
        <w:t>462p48 to 465p84: the only typographical candidates in this range are SR-219 (462p56), SR-220 (465p95) and the query SR-221 (465p88).</w:t>
      </w:r>
    </w:p>
    <w:p>
      <w:pPr>
        <w:pStyle w:val="Heading1"/>
      </w:pPr>
      <w:r>
        <w:t>5. External collation</w:t>
      </w:r>
    </w:p>
    <w:p>
      <w:pPr>
        <w:pStyle w:val="ListBullet"/>
      </w:pPr>
      <w:r>
        <w:t>Not done for 446–465. Every Batch 024 proposal is source-internal until the Hetushu pages for 446–465 are fetched and checked. Use the fetch mapping that was verified for Batch 022 (https://www.hetushu.com/book/7640/{5345238+chapter}.html) and check fragments only.</w:t>
      </w:r>
    </w:p>
    <w:p>
      <w:pPr>
        <w:pStyle w:val="ListBullet"/>
      </w:pPr>
      <w:r>
        <w:t>Do not use 5345239+n: it fetches chapter n+1.</w:t>
      </w:r>
    </w:p>
    <w:p>
      <w:pPr>
        <w:pStyle w:val="Heading1"/>
      </w:pPr>
      <w:r>
        <w:t>6. Status</w:t>
      </w:r>
    </w:p>
    <w:p>
      <w:pPr>
        <w:pStyle w:val="ListBullet"/>
      </w:pPr>
      <w:r>
        <w:t>Batch 024 sequential reading is complete.</w:t>
      </w:r>
    </w:p>
    <w:p>
      <w:pPr>
        <w:pStyle w:val="ListBullet"/>
      </w:pPr>
      <w:r>
        <w:t>Ledger: 232 proposals in total (SR-001 to SR-232). 228 held, 3 withdrawn, 1 locally resolved. None approved or applied.</w:t>
      </w:r>
    </w:p>
    <w:p>
      <w:pPr>
        <w:pStyle w:val="ListBullet"/>
      </w:pPr>
      <w:r>
        <w:t>Progress: next unread chapter 466. 465 chapters completed. 1,869 remain. Cumulative paragraphs 41,727; characters 1,454,484.</w:t>
      </w:r>
    </w:p>
    <w:p>
      <w:pPr>
        <w:pStyle w:val="ListBullet"/>
      </w:pPr>
      <w:r>
        <w:t>Deliverables: this report, Batch-024-Numbered-Chinese-Source.md, proposal-ledger.json, reading-progress.json. DOCX, workbook rows and QA are to follow.</w:t>
      </w:r>
    </w:p>
    <w:p>
      <w:pPr>
        <w:pStyle w:val="Heading1"/>
      </w:pPr>
      <w:r>
        <w:t>5. Witness collation (Hetushu, ch446–465)</w:t>
      </w:r>
    </w:p>
    <w:p>
      <w:pPr>
        <w:pStyle w:val="ListBullet"/>
      </w:pPr>
      <w:r>
        <w:t>Collated against Hetushu pages 5345684–5345703 (fact-check-023-025/). Mean exact-line agreement after watermark strip is about 0.95.</w:t>
      </w:r>
    </w:p>
    <w:p>
      <w:pPr>
        <w:pStyle w:val="ListBullet"/>
      </w:pPr>
      <w:r>
        <w:t>Entries with a witness note below. Other held and query items in this chapter range match the witness text exactly, so the witness does not confirm them.</w:t>
      </w:r>
    </w:p>
    <w:p>
      <w:pPr>
        <w:pStyle w:val="ListBullet"/>
      </w:pPr>
      <w:r>
        <w:t>SR-209: Hetushu copy has the same text as our source here (447p67). Does not confirm the proposal.</w:t>
      </w:r>
    </w:p>
    <w:p>
      <w:pPr>
        <w:pStyle w:val="ListBullet"/>
      </w:pPr>
      <w:r>
        <w:t>SR-210: Hetushu copy has the same text as our source here (447p72). Does not confirm the proposal.</w:t>
      </w:r>
    </w:p>
    <w:p>
      <w:pPr>
        <w:pStyle w:val="ListBullet"/>
      </w:pPr>
      <w:r>
        <w:t>SR-212: Hetushu copy has the same text as our source here (452p36). Does not confirm the proposal.</w:t>
      </w:r>
    </w:p>
    <w:p>
      <w:pPr>
        <w:pStyle w:val="ListBullet"/>
      </w:pPr>
      <w:r>
        <w:t>SR-213: Hetushu copy has the same text as our source here (452p84). Does not confirm the proposal.</w:t>
      </w:r>
    </w:p>
    <w:p>
      <w:pPr>
        <w:pStyle w:val="ListBullet"/>
      </w:pPr>
      <w:r>
        <w:t>SR-214: Hetushu copy has the same text as our source here (452p27). Does not confirm the proposal.</w:t>
      </w:r>
    </w:p>
    <w:p>
      <w:pPr>
        <w:pStyle w:val="ListBullet"/>
      </w:pPr>
      <w:r>
        <w:t>SR-216: Hetushu copy has the same text as our source here (454p82). Does not confirm the proposal.</w:t>
      </w:r>
    </w:p>
    <w:p>
      <w:pPr>
        <w:pStyle w:val="ListBullet"/>
      </w:pPr>
      <w:r>
        <w:t>SR-219: Hetushu copy has the same text as our source here (462p56). Does not confirm the proposal.</w:t>
      </w:r>
    </w:p>
    <w:p>
      <w:pPr>
        <w:pStyle w:val="ListBullet"/>
      </w:pPr>
      <w:r>
        <w:t>SR-220: Hetushu copy has the same text as our source here (465p95). Does not confirm the proposal.</w:t>
      </w:r>
    </w:p>
    <w:p>
      <w:pPr>
        <w:pStyle w:val="ListBullet"/>
      </w:pPr>
      <w:r>
        <w:t>SR-221: Hetushu copy has the same text as our source here (465p88). Does not confirm the proposal.</w:t>
      </w:r>
    </w:p>
    <w:p>
      <w:pPr>
        <w:pStyle w:val="ListBullet"/>
      </w:pPr>
      <w:r>
        <w:t>SR-222: Hetushu copy has the same text as our source here (457p66). Does not confirm the proposal.</w:t>
      </w:r>
    </w:p>
    <w:p>
      <w:pPr>
        <w:pStyle w:val="ListBullet"/>
      </w:pPr>
      <w:r>
        <w:t>SR-223: Hetushu copy has the same text as our source here (448p8). Does not confirm the proposal.</w:t>
      </w:r>
    </w:p>
    <w:p>
      <w:pPr>
        <w:pStyle w:val="ListBullet"/>
      </w:pPr>
      <w:r>
        <w:t>SR-224: Hetushu copy has the same text as our source here (457p43). Does not confirm the proposal.</w:t>
      </w:r>
    </w:p>
    <w:p>
      <w:pPr>
        <w:pStyle w:val="ListBullet"/>
      </w:pPr>
      <w:r>
        <w:t>SR-225: Hetushu copy has the same text as our source here (456p18). Does not confirm the proposal.</w:t>
      </w:r>
    </w:p>
    <w:p>
      <w:pPr>
        <w:pStyle w:val="ListBullet"/>
      </w:pPr>
      <w:r>
        <w:t>SR-226: Hetushu copy has the same text as our source here (453p13). Does not confirm the proposal.</w:t>
      </w:r>
    </w:p>
    <w:p>
      <w:pPr>
        <w:pStyle w:val="ListBullet"/>
      </w:pPr>
      <w:r>
        <w:t>SR-227: Hetushu copy has the same text as our source here (454p74). Does not confirm the proposal.</w:t>
      </w:r>
    </w:p>
    <w:p>
      <w:pPr>
        <w:pStyle w:val="ListBullet"/>
      </w:pPr>
      <w:r>
        <w:t>SR-230: Hetushu copy has the same text as our source here (463p14). Does not confirm the proposal.</w:t>
      </w:r>
    </w:p>
    <w:p>
      <w:pPr>
        <w:pStyle w:val="ListBullet"/>
      </w:pPr>
      <w:r>
        <w:t>SR-231: Hetushu copy has the same text as our source here (462p55). Does not confirm the proposal.</w:t>
      </w:r>
    </w:p>
    <w:p>
      <w:pPr>
        <w:pStyle w:val="ListBullet"/>
      </w:pPr>
      <w:r>
        <w:t>SR-232: Hetushu copy has the same text as our source here (450p65). Does not confirm the proposal.</w:t>
      </w:r>
    </w:p>
    <w:p>
      <w:pPr>
        <w:pStyle w:val="ListBullet"/>
      </w:pPr>
      <w:r>
        <w:t>SR-215: Hetushu (ch453 p44) keeps 普通水浪 (the typo) and reads 三倍 where our source reads 十三倍 (new query SR-383).</w:t>
      </w:r>
    </w:p>
    <w:p>
      <w:pPr>
        <w:pStyle w:val="ListBullet"/>
      </w:pPr>
      <w:r>
        <w:t>SR-217: Hetushu (ch456 p19) reads 儿女 where our source reads 耳女 (supports the proposed repair). Held.</w:t>
      </w:r>
    </w:p>
    <w:p>
      <w:pPr>
        <w:pStyle w:val="ListBullet"/>
      </w:pPr>
      <w:r>
        <w:t>SR-228: Hetushu (ch458 p80) reads 三万两千头 where our source reads 三王两千头 (supports the 王→万 direction; query stands).</w:t>
      </w:r>
    </w:p>
    <w:p>
      <w:pPr>
        <w:pStyle w:val="ListBullet"/>
      </w:pPr>
      <w:r>
        <w:t>New query SR-383 (453p44: 十三倍 vs 三倍) is in Batch 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