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025 Sequential Review: Chapters 466–485</w:t>
      </w:r>
    </w:p>
    <w:p>
      <w:pPr>
        <w:pStyle w:val="Heading1"/>
      </w:pPr>
      <w:r>
        <w:t>1. Scope and method</w:t>
      </w:r>
    </w:p>
    <w:p>
      <w:pPr>
        <w:pStyle w:val="ListBullet"/>
      </w:pPr>
      <w:r>
        <w:t>Chapters 466–485 of the 2,334-chapter corpus, read in full in sequence from the Gu-Zhen-Ren EPUB (source of record).</w:t>
      </w:r>
    </w:p>
    <w:p>
      <w:pPr>
        <w:pStyle w:val="ListBullet"/>
      </w:pPr>
      <w:r>
        <w:t>20 chapters, 1,685 paragraphs, 62,679 characters. Counts verified against batch-025-source.json.</w:t>
      </w:r>
    </w:p>
    <w:p>
      <w:pPr>
        <w:pStyle w:val="ListBullet"/>
      </w:pPr>
      <w:r>
        <w:t>Each paragraph was read through read_batch025.py in five chunks (466–469, 470–473, 474–477, 478–481, 482–485). No paragraphs were skipped.</w:t>
      </w:r>
    </w:p>
    <w:p>
      <w:pPr>
        <w:pStyle w:val="ListBullet"/>
      </w:pPr>
      <w:r>
        <w:t>Numbered source: Batch-025-Numbered-Chinese-Source.md, one line per paragraph in chapter.paragraph form.</w:t>
      </w:r>
    </w:p>
    <w:p>
      <w:pPr>
        <w:pStyle w:val="ListBullet"/>
      </w:pPr>
      <w:r>
        <w:t>Proposals are source-internal. None are approved or applied. Publication status remains HOLD until whole-novel reconciliation and external collation are complete.</w:t>
      </w:r>
    </w:p>
    <w:p>
      <w:pPr>
        <w:pStyle w:val="Heading1"/>
      </w:pPr>
      <w:r>
        <w:t>2. Content summary</w:t>
      </w:r>
    </w:p>
    <w:p>
      <w:pPr>
        <w:pStyle w:val="ListBullet"/>
      </w:pPr>
      <w:r>
        <w:t>466–469: The 星门 route and the 星萤蛊 supply. Fang Yuan trades with the 宝黄天 through 通天蛊, sells residual Gu formulas, and returns through the star-gate. He prepares 推杯换盏蛊 and buys 舍利蛊. 砚石老人 and 白凝冰 are introduced. The 琅琊地灵 is baited with 神游蛊.</w:t>
      </w:r>
    </w:p>
    <w:p>
      <w:pPr>
        <w:pStyle w:val="ListBullet"/>
      </w:pPr>
      <w:r>
        <w:t>470–473: The 严家 (严天寂, 严翠儿) and the 水魔浩激流 episode. The 严家 summons Chang Shanyin; the betrayal of the 严家 elders by Fang Yuan's wolves; the fall of the 严家 camp; the surrender.</w:t>
      </w:r>
    </w:p>
    <w:p>
      <w:pPr>
        <w:pStyle w:val="ListBullet"/>
      </w:pPr>
      <w:r>
        <w:t>474–477: Growth after victory. The 狐仙福地 pasture, 星屑草 and 星萤虫 on the cloud. Fang Yuan reaches five-level peak through 紫晶舍利蛊; the 胆识蛊 harvest; the 敛息蛊; the 葛家 spoils and 太上家老 status.</w:t>
      </w:r>
    </w:p>
    <w:p>
      <w:pPr>
        <w:pStyle w:val="ListBullet"/>
      </w:pPr>
      <w:r>
        <w:t>478–481: The 贝家, 郑家 and 裴家 alliance; Fang Yuan's night raids; 裴燕飞; 贝草川's ambush and retreat.</w:t>
      </w:r>
    </w:p>
    <w:p>
      <w:pPr>
        <w:pStyle w:val="ListBullet"/>
      </w:pPr>
      <w:r>
        <w:t>482–485: The 裴家 battle; the wolf retreat; the 汪家 response; Fang Yuan's raid on the 水狼 nests and his plan to deal with the 琅琊地灵 for the second 空窍 Gu.</w:t>
      </w:r>
    </w:p>
    <w:p>
      <w:pPr>
        <w:pStyle w:val="Heading1"/>
      </w:pPr>
      <w:r>
        <w:t>3. Proposals SR-233 to SR-256</w:t>
      </w:r>
    </w:p>
    <w:p>
      <w:r>
        <w:t>All proposals are held. None are approved. Confidence reflects the evidence in the source; no external witness was checked for this batch.</w:t>
      </w:r>
    </w:p>
    <w:p>
      <w:pPr>
        <w:pStyle w:val="Heading2"/>
      </w:pPr>
      <w:r>
        <w:t>3.1 Typographical repairs (candidates)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Proposed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SR-233</w:t>
            </w:r>
          </w:p>
        </w:tc>
        <w:tc>
          <w:tcPr>
            <w:tcW w:type="dxa" w:w="1440"/>
          </w:tcPr>
          <w:p>
            <w:r>
              <w:t>469p9</w:t>
            </w:r>
          </w:p>
        </w:tc>
        <w:tc>
          <w:tcPr>
            <w:tcW w:type="dxa" w:w="1440"/>
          </w:tcPr>
          <w:p>
            <w:r>
              <w:t>他说中血神子</w:t>
            </w:r>
          </w:p>
        </w:tc>
        <w:tc>
          <w:tcPr>
            <w:tcW w:type="dxa" w:w="1440"/>
          </w:tcPr>
          <w:p>
            <w:r>
              <w:t>其中血神子</w:t>
            </w:r>
          </w:p>
        </w:tc>
        <w:tc>
          <w:tcPr>
            <w:tcW w:type="dxa" w:w="1440"/>
          </w:tcPr>
          <w:p>
            <w:r>
              <w:t>Moderate-high (0.7)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SR-234</w:t>
            </w:r>
          </w:p>
        </w:tc>
        <w:tc>
          <w:tcPr>
            <w:tcW w:type="dxa" w:w="1440"/>
          </w:tcPr>
          <w:p>
            <w:r>
              <w:t>470p88</w:t>
            </w:r>
          </w:p>
        </w:tc>
        <w:tc>
          <w:tcPr>
            <w:tcW w:type="dxa" w:w="1440"/>
          </w:tcPr>
          <w:p>
            <w:r>
              <w:t>纷纷呢电射</w:t>
            </w:r>
          </w:p>
        </w:tc>
        <w:tc>
          <w:tcPr>
            <w:tcW w:type="dxa" w:w="1440"/>
          </w:tcPr>
          <w:p>
            <w:r>
              <w:t>纷纷电射</w:t>
            </w:r>
          </w:p>
        </w:tc>
        <w:tc>
          <w:tcPr>
            <w:tcW w:type="dxa" w:w="1440"/>
          </w:tcPr>
          <w:p>
            <w:r>
              <w:t>Moderate-high (0.75)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SR-235</w:t>
            </w:r>
          </w:p>
        </w:tc>
        <w:tc>
          <w:tcPr>
            <w:tcW w:type="dxa" w:w="1440"/>
          </w:tcPr>
          <w:p>
            <w:r>
              <w:t>470p89</w:t>
            </w:r>
          </w:p>
        </w:tc>
        <w:tc>
          <w:tcPr>
            <w:tcW w:type="dxa" w:w="1440"/>
          </w:tcPr>
          <w:p>
            <w:r>
              <w:t>存储顾</w:t>
            </w:r>
          </w:p>
        </w:tc>
        <w:tc>
          <w:tcPr>
            <w:tcW w:type="dxa" w:w="1440"/>
          </w:tcPr>
          <w:p>
            <w:r>
              <w:t>存储蛊</w:t>
            </w:r>
          </w:p>
        </w:tc>
        <w:tc>
          <w:tcPr>
            <w:tcW w:type="dxa" w:w="1440"/>
          </w:tcPr>
          <w:p>
            <w:r>
              <w:t>High (0.9)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SR-236</w:t>
            </w:r>
          </w:p>
        </w:tc>
        <w:tc>
          <w:tcPr>
            <w:tcW w:type="dxa" w:w="1440"/>
          </w:tcPr>
          <w:p>
            <w:r>
              <w:t>472p12</w:t>
            </w:r>
          </w:p>
        </w:tc>
        <w:tc>
          <w:tcPr>
            <w:tcW w:type="dxa" w:w="1440"/>
          </w:tcPr>
          <w:p>
            <w:r>
              <w:t>月亮湖上</w:t>
            </w:r>
          </w:p>
        </w:tc>
        <w:tc>
          <w:tcPr>
            <w:tcW w:type="dxa" w:w="1440"/>
          </w:tcPr>
          <w:p>
            <w:r>
              <w:t>月牙湖上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SR-237</w:t>
            </w:r>
          </w:p>
        </w:tc>
        <w:tc>
          <w:tcPr>
            <w:tcW w:type="dxa" w:w="1440"/>
          </w:tcPr>
          <w:p>
            <w:r>
              <w:t>474p14</w:t>
            </w:r>
          </w:p>
        </w:tc>
        <w:tc>
          <w:tcPr>
            <w:tcW w:type="dxa" w:w="1440"/>
          </w:tcPr>
          <w:p>
            <w:r>
              <w:t>眼睁睁地着千狼王</w:t>
            </w:r>
          </w:p>
        </w:tc>
        <w:tc>
          <w:tcPr>
            <w:tcW w:type="dxa" w:w="1440"/>
          </w:tcPr>
          <w:p>
            <w:r>
              <w:t>眼睁睁地看着千狼王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SR-238</w:t>
            </w:r>
          </w:p>
        </w:tc>
        <w:tc>
          <w:tcPr>
            <w:tcW w:type="dxa" w:w="1440"/>
          </w:tcPr>
          <w:p>
            <w:r>
              <w:t>475p17</w:t>
            </w:r>
          </w:p>
        </w:tc>
        <w:tc>
          <w:tcPr>
            <w:tcW w:type="dxa" w:w="1440"/>
          </w:tcPr>
          <w:p>
            <w:r>
              <w:t>运超四转巅峰晶膜</w:t>
            </w:r>
          </w:p>
        </w:tc>
        <w:tc>
          <w:tcPr>
            <w:tcW w:type="dxa" w:w="1440"/>
          </w:tcPr>
          <w:p>
            <w:r>
              <w:t>远超四转巅峰晶膜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SR-239</w:t>
            </w:r>
          </w:p>
        </w:tc>
        <w:tc>
          <w:tcPr>
            <w:tcW w:type="dxa" w:w="1440"/>
          </w:tcPr>
          <w:p>
            <w:r>
              <w:t>476p63</w:t>
            </w:r>
          </w:p>
        </w:tc>
        <w:tc>
          <w:tcPr>
            <w:tcW w:type="dxa" w:w="1440"/>
          </w:tcPr>
          <w:p>
            <w:r>
              <w:t>会减少敷衍率</w:t>
            </w:r>
          </w:p>
        </w:tc>
        <w:tc>
          <w:tcPr>
            <w:tcW w:type="dxa" w:w="1440"/>
          </w:tcPr>
          <w:p>
            <w:r>
              <w:t>会减少繁衍率</w:t>
            </w:r>
          </w:p>
        </w:tc>
        <w:tc>
          <w:tcPr>
            <w:tcW w:type="dxa" w:w="1440"/>
          </w:tcPr>
          <w:p>
            <w:r>
              <w:t>Moderate-high (0.75)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SR-240</w:t>
            </w:r>
          </w:p>
        </w:tc>
        <w:tc>
          <w:tcPr>
            <w:tcW w:type="dxa" w:w="1440"/>
          </w:tcPr>
          <w:p>
            <w:r>
              <w:t>477p65</w:t>
            </w:r>
          </w:p>
        </w:tc>
        <w:tc>
          <w:tcPr>
            <w:tcW w:type="dxa" w:w="1440"/>
          </w:tcPr>
          <w:p>
            <w:r>
              <w:t>如次境地</w:t>
            </w:r>
          </w:p>
        </w:tc>
        <w:tc>
          <w:tcPr>
            <w:tcW w:type="dxa" w:w="1440"/>
          </w:tcPr>
          <w:p>
            <w:r>
              <w:t>如此境地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SR-241</w:t>
            </w:r>
          </w:p>
        </w:tc>
        <w:tc>
          <w:tcPr>
            <w:tcW w:type="dxa" w:w="1440"/>
          </w:tcPr>
          <w:p>
            <w:r>
              <w:t>481p74</w:t>
            </w:r>
          </w:p>
        </w:tc>
        <w:tc>
          <w:tcPr>
            <w:tcW w:type="dxa" w:w="1440"/>
          </w:tcPr>
          <w:p>
            <w:r>
              <w:t>就有一百都只</w:t>
            </w:r>
          </w:p>
        </w:tc>
        <w:tc>
          <w:tcPr>
            <w:tcW w:type="dxa" w:w="1440"/>
          </w:tcPr>
          <w:p>
            <w:r>
              <w:t>就有一百多只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SR-243</w:t>
            </w:r>
          </w:p>
        </w:tc>
        <w:tc>
          <w:tcPr>
            <w:tcW w:type="dxa" w:w="1440"/>
          </w:tcPr>
          <w:p>
            <w:r>
              <w:t>484p36</w:t>
            </w:r>
          </w:p>
        </w:tc>
        <w:tc>
          <w:tcPr>
            <w:tcW w:type="dxa" w:w="1440"/>
          </w:tcPr>
          <w:p>
            <w:r>
              <w:t>三十头蓝天蛞蝓蛊</w:t>
            </w:r>
          </w:p>
        </w:tc>
        <w:tc>
          <w:tcPr>
            <w:tcW w:type="dxa" w:w="1440"/>
          </w:tcPr>
          <w:p>
            <w:r>
              <w:t>三十头蓝田蛞蝓蛊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SR-244</w:t>
            </w:r>
          </w:p>
        </w:tc>
        <w:tc>
          <w:tcPr>
            <w:tcW w:type="dxa" w:w="1440"/>
          </w:tcPr>
          <w:p>
            <w:r>
              <w:t>485p17</w:t>
            </w:r>
          </w:p>
        </w:tc>
        <w:tc>
          <w:tcPr>
            <w:tcW w:type="dxa" w:w="1440"/>
          </w:tcPr>
          <w:p>
            <w:r>
              <w:t>一番把设计</w:t>
            </w:r>
          </w:p>
        </w:tc>
        <w:tc>
          <w:tcPr>
            <w:tcW w:type="dxa" w:w="1440"/>
          </w:tcPr>
          <w:p>
            <w:r>
              <w:t>一番布设</w:t>
            </w:r>
          </w:p>
        </w:tc>
        <w:tc>
          <w:tcPr>
            <w:tcW w:type="dxa" w:w="1440"/>
          </w:tcPr>
          <w:p>
            <w:r>
              <w:t>Moderate (0.6)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</w:tbl>
    <w:p>
      <w:pPr>
        <w:pStyle w:val="Heading2"/>
      </w:pPr>
      <w:r>
        <w:t>3.2 Queries and name-register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</w:tr>
      <w:tr>
        <w:tc>
          <w:tcPr>
            <w:tcW w:type="dxa" w:w="2880"/>
          </w:tcPr>
          <w:p>
            <w:r>
              <w:t>SR-242</w:t>
            </w:r>
          </w:p>
        </w:tc>
        <w:tc>
          <w:tcPr>
            <w:tcW w:type="dxa" w:w="2880"/>
          </w:tcPr>
          <w:p>
            <w:r>
              <w:t>481p64</w:t>
            </w:r>
          </w:p>
        </w:tc>
        <w:tc>
          <w:tcPr>
            <w:tcW w:type="dxa" w:w="2880"/>
          </w:tcPr>
          <w:p>
            <w:r>
              <w:t>离开贤弟: 贤弟 does not fit; the intended referent may be the herd or the beast. Moderate (0.6).</w:t>
            </w:r>
          </w:p>
        </w:tc>
      </w:tr>
      <w:tr>
        <w:tc>
          <w:tcPr>
            <w:tcW w:type="dxa" w:w="2880"/>
          </w:tcPr>
          <w:p>
            <w:r>
              <w:t>SR-245</w:t>
            </w:r>
          </w:p>
        </w:tc>
        <w:tc>
          <w:tcPr>
            <w:tcW w:type="dxa" w:w="2880"/>
          </w:tcPr>
          <w:p>
            <w:r>
              <w:t>472p42 vs 482p34</w:t>
            </w:r>
          </w:p>
        </w:tc>
        <w:tc>
          <w:tcPr>
            <w:tcW w:type="dxa" w:w="2880"/>
          </w:tcPr>
          <w:p>
            <w:r>
              <w:t>杨破樱 vs 杨破缨 for the same 奴道 master. Moderate (0.6).</w:t>
            </w:r>
          </w:p>
        </w:tc>
      </w:tr>
      <w:tr>
        <w:tc>
          <w:tcPr>
            <w:tcW w:type="dxa" w:w="2880"/>
          </w:tcPr>
          <w:p>
            <w:r>
              <w:t>SR-246</w:t>
            </w:r>
          </w:p>
        </w:tc>
        <w:tc>
          <w:tcPr>
            <w:tcW w:type="dxa" w:w="2880"/>
          </w:tcPr>
          <w:p>
            <w:r>
              <w:t>471p22 (with 473p18, 473p22)</w:t>
            </w:r>
          </w:p>
        </w:tc>
        <w:tc>
          <w:tcPr>
            <w:tcW w:type="dxa" w:w="2880"/>
          </w:tcPr>
          <w:p>
            <w:r>
              <w:t>学堂家老 for a 严家 elder vs 战堂家老 for a 严家 elder in the same battle. Links to SR-222. Moderate-high (0.6).</w:t>
            </w:r>
          </w:p>
        </w:tc>
      </w:tr>
      <w:tr>
        <w:tc>
          <w:tcPr>
            <w:tcW w:type="dxa" w:w="2880"/>
          </w:tcPr>
          <w:p>
            <w:r>
              <w:t>SR-247</w:t>
            </w:r>
          </w:p>
        </w:tc>
        <w:tc>
          <w:tcPr>
            <w:tcW w:type="dxa" w:w="2880"/>
          </w:tcPr>
          <w:p>
            <w:r>
              <w:t>466p2 vs 474p62</w:t>
            </w:r>
          </w:p>
        </w:tc>
        <w:tc>
          <w:tcPr>
            <w:tcW w:type="dxa" w:w="2880"/>
          </w:tcPr>
          <w:p>
            <w:r>
              <w:t>Fox-fortune time ratio: 五倍 vs 六倍. 469p63 uses five. Moderate-high (0.8).</w:t>
            </w:r>
          </w:p>
        </w:tc>
      </w:tr>
      <w:tr>
        <w:tc>
          <w:tcPr>
            <w:tcW w:type="dxa" w:w="2880"/>
          </w:tcPr>
          <w:p>
            <w:r>
              <w:t>SR-248</w:t>
            </w:r>
          </w:p>
        </w:tc>
        <w:tc>
          <w:tcPr>
            <w:tcW w:type="dxa" w:w="2880"/>
          </w:tcPr>
          <w:p>
            <w:r>
              <w:t>475p43 vs 475p48–51</w:t>
            </w:r>
          </w:p>
        </w:tc>
        <w:tc>
          <w:tcPr>
            <w:tcW w:type="dxa" w:w="2880"/>
          </w:tcPr>
          <w:p>
            <w:r>
              <w:t>Three 紫晶舍利蛊 said to reach peak; four are used. Query (0.5).</w:t>
            </w:r>
          </w:p>
        </w:tc>
      </w:tr>
      <w:tr>
        <w:tc>
          <w:tcPr>
            <w:tcW w:type="dxa" w:w="2880"/>
          </w:tcPr>
          <w:p>
            <w:r>
              <w:t>SR-249</w:t>
            </w:r>
          </w:p>
        </w:tc>
        <w:tc>
          <w:tcPr>
            <w:tcW w:type="dxa" w:w="2880"/>
          </w:tcPr>
          <w:p>
            <w:r>
              <w:t>475p44–50</w:t>
            </w:r>
          </w:p>
        </w:tc>
        <w:tc>
          <w:tcPr>
            <w:tcW w:type="dxa" w:w="2880"/>
          </w:tcPr>
          <w:p>
            <w:r>
              <w:t>The two tampered 紫晶舍利蛊 are described as unusable, then used. Moderate-high (0.7).</w:t>
            </w:r>
          </w:p>
        </w:tc>
      </w:tr>
      <w:tr>
        <w:tc>
          <w:tcPr>
            <w:tcW w:type="dxa" w:w="2880"/>
          </w:tcPr>
          <w:p>
            <w:r>
              <w:t>SR-250</w:t>
            </w:r>
          </w:p>
        </w:tc>
        <w:tc>
          <w:tcPr>
            <w:tcW w:type="dxa" w:w="2880"/>
          </w:tcPr>
          <w:p>
            <w:r>
              <w:t>476p27 vs 476p29</w:t>
            </w:r>
          </w:p>
        </w:tc>
        <w:tc>
          <w:tcPr>
            <w:tcW w:type="dxa" w:w="2880"/>
          </w:tcPr>
          <w:p>
            <w:r>
              <w:t>龟背狼 count in one sale: two wolf-thousands vs three. Moderate-high (0.8).</w:t>
            </w:r>
          </w:p>
        </w:tc>
      </w:tr>
      <w:tr>
        <w:tc>
          <w:tcPr>
            <w:tcW w:type="dxa" w:w="2880"/>
          </w:tcPr>
          <w:p>
            <w:r>
              <w:t>SR-251</w:t>
            </w:r>
          </w:p>
        </w:tc>
        <w:tc>
          <w:tcPr>
            <w:tcW w:type="dxa" w:w="2880"/>
          </w:tcPr>
          <w:p>
            <w:r>
              <w:t>476p7–8, 476p29–30, 477p17, 484p50</w:t>
            </w:r>
          </w:p>
        </w:tc>
        <w:tc>
          <w:tcPr>
            <w:tcW w:type="dxa" w:w="2880"/>
          </w:tcPr>
          <w:p>
            <w:r>
              <w:t>Total wolf count does not reconcile with purchases (about 79,000 bought). Query (0.6).</w:t>
            </w:r>
          </w:p>
        </w:tc>
      </w:tr>
      <w:tr>
        <w:tc>
          <w:tcPr>
            <w:tcW w:type="dxa" w:w="2880"/>
          </w:tcPr>
          <w:p>
            <w:r>
              <w:t>SR-252</w:t>
            </w:r>
          </w:p>
        </w:tc>
        <w:tc>
          <w:tcPr>
            <w:tcW w:type="dxa" w:w="2880"/>
          </w:tcPr>
          <w:p>
            <w:r>
              <w:t>477p25 vs 477p26</w:t>
            </w:r>
          </w:p>
        </w:tc>
        <w:tc>
          <w:tcPr>
            <w:tcW w:type="dxa" w:w="2880"/>
          </w:tcPr>
          <w:p>
            <w:r>
              <w:t>敛息蛊 suppression stated as 四转中阶 and as 五转初阶. Moderate (0.6).</w:t>
            </w:r>
          </w:p>
        </w:tc>
      </w:tr>
      <w:tr>
        <w:tc>
          <w:tcPr>
            <w:tcW w:type="dxa" w:w="2880"/>
          </w:tcPr>
          <w:p>
            <w:r>
              <w:t>SR-253</w:t>
            </w:r>
          </w:p>
        </w:tc>
        <w:tc>
          <w:tcPr>
            <w:tcW w:type="dxa" w:w="2880"/>
          </w:tcPr>
          <w:p>
            <w:r>
              <w:t>479p33 vs 484p43</w:t>
            </w:r>
          </w:p>
        </w:tc>
        <w:tc>
          <w:tcPr>
            <w:tcW w:type="dxa" w:w="2880"/>
          </w:tcPr>
          <w:p>
            <w:r>
              <w:t>Accelerating Gu for the 白眼狼: 宙道蛊虫 vs 三更蛊. Moderate-high (0.7).</w:t>
            </w:r>
          </w:p>
        </w:tc>
      </w:tr>
      <w:tr>
        <w:tc>
          <w:tcPr>
            <w:tcW w:type="dxa" w:w="2880"/>
          </w:tcPr>
          <w:p>
            <w:r>
              <w:t>SR-254</w:t>
            </w:r>
          </w:p>
        </w:tc>
        <w:tc>
          <w:tcPr>
            <w:tcW w:type="dxa" w:w="2880"/>
          </w:tcPr>
          <w:p>
            <w:r>
              <w:t>480p71</w:t>
            </w:r>
          </w:p>
        </w:tc>
        <w:tc>
          <w:tcPr>
            <w:tcW w:type="dxa" w:w="2880"/>
          </w:tcPr>
          <w:p>
            <w:r>
              <w:t>Back-reference to an earlier 金银电蛟 contact not shown in the preceding text. Low (0.4).</w:t>
            </w:r>
          </w:p>
        </w:tc>
      </w:tr>
      <w:tr>
        <w:tc>
          <w:tcPr>
            <w:tcW w:type="dxa" w:w="2880"/>
          </w:tcPr>
          <w:p>
            <w:r>
              <w:t>SR-255</w:t>
            </w:r>
          </w:p>
        </w:tc>
        <w:tc>
          <w:tcPr>
            <w:tcW w:type="dxa" w:w="2880"/>
          </w:tcPr>
          <w:p>
            <w:r>
              <w:t>472p21 vs 473p1</w:t>
            </w:r>
          </w:p>
        </w:tc>
        <w:tc>
          <w:tcPr>
            <w:tcW w:type="dxa" w:w="2880"/>
          </w:tcPr>
          <w:p>
            <w:r>
              <w:t>万狼王 vs 万兽王 for the same grade. Low (0.4).</w:t>
            </w:r>
          </w:p>
        </w:tc>
      </w:tr>
      <w:tr>
        <w:tc>
          <w:tcPr>
            <w:tcW w:type="dxa" w:w="2880"/>
          </w:tcPr>
          <w:p>
            <w:r>
              <w:t>SR-256</w:t>
            </w:r>
          </w:p>
        </w:tc>
        <w:tc>
          <w:tcPr>
            <w:tcW w:type="dxa" w:w="2880"/>
          </w:tcPr>
          <w:p>
            <w:r>
              <w:t>476p15</w:t>
            </w:r>
          </w:p>
        </w:tc>
        <w:tc>
          <w:tcPr>
            <w:tcW w:type="dxa" w:w="2880"/>
          </w:tcPr>
          <w:p>
            <w:r>
              <w:t>血狼 listed under both 南疆 and 中土. Low (0.4).</w:t>
            </w:r>
          </w:p>
        </w:tc>
      </w:tr>
    </w:tbl>
    <w:p>
      <w:pPr>
        <w:pStyle w:val="Heading1"/>
      </w:pPr>
      <w:r>
        <w:t>4. Notes not in the ledger</w:t>
      </w:r>
    </w:p>
    <w:p>
      <w:pPr>
        <w:pStyle w:val="ListBullet"/>
      </w:pPr>
      <w:r>
        <w:t>473p1: 夜狼千兽王 is used once for the pack leaders; other passages use 千狼王. Name-register note only.</w:t>
      </w:r>
    </w:p>
    <w:p>
      <w:pPr>
        <w:pStyle w:val="ListBullet"/>
      </w:pPr>
      <w:r>
        <w:t>485p16: 已经 before 一万八千头野狼 reads oddly. Not proposed; check in the next pass.</w:t>
      </w:r>
    </w:p>
    <w:p>
      <w:pPr>
        <w:pStyle w:val="ListBullet"/>
      </w:pPr>
      <w:r>
        <w:t>466p2 and 474p62: the time-ratio conflict is recorded as SR-247.</w:t>
      </w:r>
    </w:p>
    <w:p>
      <w:pPr>
        <w:pStyle w:val="ListBullet"/>
      </w:pPr>
      <w:r>
        <w:t>472p21 also states the wolf count as 三万有余; see SR-251 for the full count.</w:t>
      </w:r>
    </w:p>
    <w:p>
      <w:pPr>
        <w:pStyle w:val="ListBullet"/>
      </w:pPr>
      <w:r>
        <w:t>468p59 and 468p61: references to the second attack and to seven waves are consistent with 463p13 and 484p67-68. No conflict found.</w:t>
      </w:r>
    </w:p>
    <w:p>
      <w:pPr>
        <w:pStyle w:val="ListBullet"/>
      </w:pPr>
      <w:r>
        <w:t>470p48: 常兄，你一睡二十年 is consistent with the twenty-year sleep noted in 432p80 and 440p6. No proposal.</w:t>
      </w:r>
    </w:p>
    <w:p>
      <w:pPr>
        <w:pStyle w:val="ListBullet"/>
      </w:pPr>
      <w:r>
        <w:t>475p19: the realm colours (青铜, 赤铁, 白银, 黄金, 紫晶) match the earlier Gu-master ranks. No proposal.</w:t>
      </w:r>
    </w:p>
    <w:p>
      <w:pPr>
        <w:pStyle w:val="Heading1"/>
      </w:pPr>
      <w:r>
        <w:t>5. External collation</w:t>
      </w:r>
    </w:p>
    <w:p>
      <w:pPr>
        <w:pStyle w:val="ListBullet"/>
      </w:pPr>
      <w:r>
        <w:t>Not done for 466–485. Every Batch 025 proposal is source-internal until the Hetushu pages for 466–485 are fetched and checked. Use the mapping verified for Batch 022 (https://www.hetushu.com/book/7640/{5345238+chapter}.html) and check fragments only.</w:t>
      </w:r>
    </w:p>
    <w:p>
      <w:pPr>
        <w:pStyle w:val="ListBullet"/>
      </w:pPr>
      <w:r>
        <w:t>Do not use 5345239+n: it fetches chapter n+1.</w:t>
      </w:r>
    </w:p>
    <w:p>
      <w:pPr>
        <w:pStyle w:val="Heading1"/>
      </w:pPr>
      <w:r>
        <w:t>6. Status</w:t>
      </w:r>
    </w:p>
    <w:p>
      <w:pPr>
        <w:pStyle w:val="ListBullet"/>
      </w:pPr>
      <w:r>
        <w:t>Batch 025 sequential reading is complete.</w:t>
      </w:r>
    </w:p>
    <w:p>
      <w:pPr>
        <w:pStyle w:val="ListBullet"/>
      </w:pPr>
      <w:r>
        <w:t>Ledger: 256 proposals in total (SR-001 to SR-256). 252 held, 3 withdrawn, 1 locally resolved. None approved or applied.</w:t>
      </w:r>
    </w:p>
    <w:p>
      <w:pPr>
        <w:pStyle w:val="ListBullet"/>
      </w:pPr>
      <w:r>
        <w:t>Progress: next unread chapter 486. 485 chapters completed. 1,849 remain. Cumulative paragraphs 43,412; characters 1,517,163.</w:t>
      </w:r>
    </w:p>
    <w:p>
      <w:pPr>
        <w:pStyle w:val="ListBullet"/>
      </w:pPr>
      <w:r>
        <w:t>Deliverables: this report, Batch-025-Numbered-Chinese-Source.md, proposal-ledger.json, reading-progress.json. DOCX, workbook rows and QA follow.</w:t>
      </w:r>
    </w:p>
    <w:p>
      <w:pPr>
        <w:pStyle w:val="Heading1"/>
      </w:pPr>
      <w:r>
        <w:t>5. Witness collation (Hetushu, ch466–485)</w:t>
      </w:r>
    </w:p>
    <w:p>
      <w:pPr>
        <w:pStyle w:val="ListBullet"/>
      </w:pPr>
      <w:r>
        <w:t>Collated against Hetushu pages 5345704–5345723 (fact-check-023-025/). Mean exact-line agreement after watermark strip is about 0.95.</w:t>
      </w:r>
    </w:p>
    <w:p>
      <w:pPr>
        <w:pStyle w:val="ListBullet"/>
      </w:pPr>
      <w:r>
        <w:t>Entries with a witness note below. Other held and query items in this chapter range match the witness text exactly, so the witness does not confirm them.</w:t>
      </w:r>
    </w:p>
    <w:p>
      <w:pPr>
        <w:pStyle w:val="ListBullet"/>
      </w:pPr>
      <w:r>
        <w:t>SR-233: Hetushu copy has the same text as our source here (469p9). Does not confirm the proposal.</w:t>
      </w:r>
    </w:p>
    <w:p>
      <w:pPr>
        <w:pStyle w:val="ListBullet"/>
      </w:pPr>
      <w:r>
        <w:t>SR-234: Hetushu copy has the same text as our source here (470p88). Does not confirm the proposal.</w:t>
      </w:r>
    </w:p>
    <w:p>
      <w:pPr>
        <w:pStyle w:val="ListBullet"/>
      </w:pPr>
      <w:r>
        <w:t>SR-235: Hetushu copy has the same text as our source here (470p89). Does not confirm the proposal.</w:t>
      </w:r>
    </w:p>
    <w:p>
      <w:pPr>
        <w:pStyle w:val="ListBullet"/>
      </w:pPr>
      <w:r>
        <w:t>SR-236: Hetushu copy has the same text as our source here (472p12). Does not confirm the proposal.</w:t>
      </w:r>
    </w:p>
    <w:p>
      <w:pPr>
        <w:pStyle w:val="ListBullet"/>
      </w:pPr>
      <w:r>
        <w:t>SR-237: Hetushu copy has the same text as our source here (474p14). Does not confirm the proposal.</w:t>
      </w:r>
    </w:p>
    <w:p>
      <w:pPr>
        <w:pStyle w:val="ListBullet"/>
      </w:pPr>
      <w:r>
        <w:t>SR-238: Hetushu copy has the same text as our source here (475p17). Does not confirm the proposal.</w:t>
      </w:r>
    </w:p>
    <w:p>
      <w:pPr>
        <w:pStyle w:val="ListBullet"/>
      </w:pPr>
      <w:r>
        <w:t>SR-239: Hetushu copy has the same text as our source here (476p63). Does not confirm the proposal.</w:t>
      </w:r>
    </w:p>
    <w:p>
      <w:pPr>
        <w:pStyle w:val="ListBullet"/>
      </w:pPr>
      <w:r>
        <w:t>SR-240: Hetushu copy has the same text as our source here (477p65). Does not confirm the proposal.</w:t>
      </w:r>
    </w:p>
    <w:p>
      <w:pPr>
        <w:pStyle w:val="ListBullet"/>
      </w:pPr>
      <w:r>
        <w:t>SR-243: Hetushu copy has the same text as our source here (484p36). Does not confirm the proposal.</w:t>
      </w:r>
    </w:p>
    <w:p>
      <w:pPr>
        <w:pStyle w:val="ListBullet"/>
      </w:pPr>
      <w:r>
        <w:t>SR-245: Hetushu copy has the same text as our source here (472p42). Does not confirm the proposal.</w:t>
      </w:r>
    </w:p>
    <w:p>
      <w:pPr>
        <w:pStyle w:val="ListBullet"/>
      </w:pPr>
      <w:r>
        <w:t>SR-246: Hetushu copy has the same text as our source here (471p22). Does not confirm the proposal.</w:t>
      </w:r>
    </w:p>
    <w:p>
      <w:pPr>
        <w:pStyle w:val="ListBullet"/>
      </w:pPr>
      <w:r>
        <w:t>SR-247: Hetushu copy has the same text as our source here (466p2). Does not confirm the proposal.</w:t>
      </w:r>
    </w:p>
    <w:p>
      <w:pPr>
        <w:pStyle w:val="ListBullet"/>
      </w:pPr>
      <w:r>
        <w:t>SR-248: Hetushu copy has the same text as our source here (475p43). Does not confirm the proposal.</w:t>
      </w:r>
    </w:p>
    <w:p>
      <w:pPr>
        <w:pStyle w:val="ListBullet"/>
      </w:pPr>
      <w:r>
        <w:t>SR-249: Hetushu copy has the same text as our source here (475p44). Does not confirm the proposal.</w:t>
      </w:r>
    </w:p>
    <w:p>
      <w:pPr>
        <w:pStyle w:val="ListBullet"/>
      </w:pPr>
      <w:r>
        <w:t>SR-250: Hetushu copy has the same text as our source here (476p27). Does not confirm the proposal.</w:t>
      </w:r>
    </w:p>
    <w:p>
      <w:pPr>
        <w:pStyle w:val="ListBullet"/>
      </w:pPr>
      <w:r>
        <w:t>SR-251: Hetushu copy has the same text as our source here (476p7). Does not confirm the proposal.</w:t>
      </w:r>
    </w:p>
    <w:p>
      <w:pPr>
        <w:pStyle w:val="ListBullet"/>
      </w:pPr>
      <w:r>
        <w:t>SR-252: Hetushu copy has the same text as our source here (477p25). Does not confirm the proposal.</w:t>
      </w:r>
    </w:p>
    <w:p>
      <w:pPr>
        <w:pStyle w:val="ListBullet"/>
      </w:pPr>
      <w:r>
        <w:t>SR-253: Hetushu copy has the same text as our source here (479p33). Does not confirm the proposal.</w:t>
      </w:r>
    </w:p>
    <w:p>
      <w:pPr>
        <w:pStyle w:val="ListBullet"/>
      </w:pPr>
      <w:r>
        <w:t>SR-254: Hetushu copy has the same text as our source here (480p71). Does not confirm the proposal.</w:t>
      </w:r>
    </w:p>
    <w:p>
      <w:pPr>
        <w:pStyle w:val="ListBullet"/>
      </w:pPr>
      <w:r>
        <w:t>SR-255: Hetushu copy has the same text as our source here (472p21). Does not confirm the proposal.</w:t>
      </w:r>
    </w:p>
    <w:p>
      <w:pPr>
        <w:pStyle w:val="ListBullet"/>
      </w:pPr>
      <w:r>
        <w:t>SR-256: Hetushu copy has the same text as our source here (476p15). Does not confirm the proposal.</w:t>
      </w:r>
    </w:p>
    <w:p>
      <w:pPr>
        <w:pStyle w:val="ListBullet"/>
      </w:pPr>
      <w:r>
        <w:t>SR-241: Hetushu (ch481 p74) reads 一百多只 where our source reads 一百都只 (supports the proposed repair). Held.</w:t>
      </w:r>
    </w:p>
    <w:p>
      <w:pPr>
        <w:pStyle w:val="ListBullet"/>
      </w:pPr>
      <w:r>
        <w:t>SR-242: Hetushu (ch481 p64) reads 险地 where our source reads 贤弟 (witness gives a candidate; query stands).</w:t>
      </w:r>
    </w:p>
    <w:p>
      <w:pPr>
        <w:pStyle w:val="ListBullet"/>
      </w:pPr>
      <w:r>
        <w:t>SR-244: Hetushu (ch485 p17) reads 一番设计 without 把 (supports deleting 把; 布设 vs 设计 remains open). Held.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