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033: Chapters 626–645 (sequential Chinese-source review)</w:t>
      </w:r>
    </w:p>
    <w:p>
      <w:r>
        <w:t>Status: sequential reading complete (1,927 paragraphs, 62,537 characters). Nothing approved or applied. Witness collation (Hetushu) is done (Section 5). Every candidate below is still a held repair or a provisional query. The witness copies the source text for every candidate here, so it neither confirms nor rejects any of them.</w:t>
      </w:r>
    </w:p>
    <w:p>
      <w:pPr>
        <w:pStyle w:val="Heading1"/>
      </w:pPr>
      <w:r>
        <w:t>1. Scope and reading</w:t>
      </w:r>
    </w:p>
    <w:p>
      <w:pPr>
        <w:pStyle w:val="ListBullet"/>
      </w:pPr>
      <w:r>
        <w:t>Chapters 626–645 read in full from the Chinese source (batch-033-source.json, 1,927 paragraphs). Working notes: batch-033-working-notes.md.</w:t>
      </w:r>
    </w:p>
    <w:p>
      <w:pPr>
        <w:pStyle w:val="ListBullet"/>
      </w:pPr>
      <w:r>
        <w:t>Narrative: 方源 forces 太白云生 to share 无上真传 and 碎窍 升仙 begins (626); 巨阳意志 fights the 乱歧牙 and 36 乱歧牙 (627–628); 方源 flees and 盗天魔尊 无相手 arrive (629); 方源 enters 太白云生's 仙窍 and it grows to 518万亩 (630–633); 八指无相手, 大同风幕 and the 王庭福地 fall (634–636); 九转智慧蛊 bisects 巨阳意志 (637–638); 方源 loses ten-plus years of life (639); 近水楼台 is taken and 墨瑶意志 is exposed (640–641); 三八封禁术 and the six-armed 天尸王 (642–643); 墨瑶意志 confesses 假意 and her plan (644–645).</w:t>
      </w:r>
    </w:p>
    <w:p>
      <w:pPr>
        <w:pStyle w:val="Heading1"/>
      </w:pPr>
      <w:r>
        <w:t>2. Story points that bear on earlier proposals</w:t>
      </w:r>
    </w:p>
    <w:p>
      <w:pPr>
        <w:pStyle w:val="ListBullet"/>
      </w:pPr>
      <w:r>
        <w:t>644p13 and 644p25 confirm the 墨瑶意志 plan, with 近水楼台 bound to 方源. 644p25–29 list five 破绽 (其一 to 其五) that lead to 春秋蝉. 645p1 names 招灾仙蛊 as the lure. This bears on SR-348 (招灾蛊 ownership) and SR-394.</w:t>
      </w:r>
    </w:p>
    <w:p>
      <w:pPr>
        <w:pStyle w:val="ListBullet"/>
      </w:pPr>
      <w:r>
        <w:t>645p28 and 645p30 confirm 红莲魔尊 as a known figure with a secret legacy. Established in earlier batches (10 corpus hits, including 546p38 and 552p38).</w:t>
      </w:r>
    </w:p>
    <w:p>
      <w:pPr>
        <w:pStyle w:val="ListBullet"/>
      </w:pPr>
      <w:r>
        <w:t>645p30 says 墨瑶意志 intends to reach 红莲魔尊's 传承 to rewind 万年 of time. This is a plot point, not a conflict. It is consistent with the 春秋蝉 timeline (SR-378 context: 639p72 and 639p79).</w:t>
      </w:r>
    </w:p>
    <w:p>
      <w:pPr>
        <w:pStyle w:val="ListBullet"/>
      </w:pPr>
      <w:r>
        <w:t>642p57 contains 巨阳意志's quotation, which closes with 字”, without 。. This is held (SR-391).</w:t>
      </w:r>
    </w:p>
    <w:p>
      <w:pPr>
        <w:pStyle w:val="ListBullet"/>
      </w:pPr>
      <w:r>
        <w:t>643p69 伤口出 is the same typo as 137p89 (earlier batch). Consider both together (SR-393).</w:t>
      </w:r>
    </w:p>
    <w:p>
      <w:pPr>
        <w:pStyle w:val="ListBullet"/>
      </w:pPr>
      <w:r>
        <w:t>633p34, 633p46 and 633p49 use 炎道仙蛊 (SR-332 context). No 火道 instance in 626–645.</w:t>
      </w:r>
    </w:p>
    <w:p>
      <w:pPr>
        <w:pStyle w:val="ListBullet"/>
      </w:pPr>
      <w:r>
        <w:t>635p16 and 603p66 are consistent with the 常山阴 impersonation (SR-336 context).</w:t>
      </w:r>
    </w:p>
    <w:p>
      <w:pPr>
        <w:pStyle w:val="ListBullet"/>
      </w:pPr>
      <w:r>
        <w:t>637p84 uses 原理 correctly. It supports the held reading at 621p5 (SR-377 context).</w:t>
      </w:r>
    </w:p>
    <w:p>
      <w:pPr>
        <w:pStyle w:val="ListBullet"/>
      </w:pPr>
      <w:r>
        <w:t>639p79 数万年之久 adds to the timeline scale (SR-378 context). 622p4 and 602p42 remain the reference points.</w:t>
      </w:r>
    </w:p>
    <w:p>
      <w:pPr>
        <w:pStyle w:val="Heading1"/>
      </w:pPr>
      <w:r>
        <w:t>3. Candidates (all held or provisional; see proposal-ledger.json SR-384 to SR-394)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Location</w:t>
            </w:r>
          </w:p>
        </w:tc>
        <w:tc>
          <w:tcPr>
            <w:tcW w:type="dxa" w:w="1440"/>
          </w:tcPr>
          <w:p>
            <w:r>
              <w:t>Issue</w:t>
            </w:r>
          </w:p>
        </w:tc>
        <w:tc>
          <w:tcPr>
            <w:tcW w:type="dxa" w:w="1440"/>
          </w:tcPr>
          <w:p>
            <w:r>
              <w:t>Action</w:t>
            </w:r>
          </w:p>
        </w:tc>
        <w:tc>
          <w:tcPr>
            <w:tcW w:type="dxa" w:w="1440"/>
          </w:tcPr>
          <w:p>
            <w:r>
              <w:t>Confidence</w:t>
            </w:r>
          </w:p>
        </w:tc>
        <w:tc>
          <w:tcPr>
            <w:tcW w:type="dxa" w:w="1440"/>
          </w:tcPr>
          <w:p>
            <w:r>
              <w:t>Status</w:t>
            </w:r>
          </w:p>
        </w:tc>
      </w:tr>
      <w:tr>
        <w:tc>
          <w:tcPr>
            <w:tcW w:type="dxa" w:w="1440"/>
          </w:tcPr>
          <w:p>
            <w:r>
              <w:t>SR-384</w:t>
            </w:r>
          </w:p>
        </w:tc>
        <w:tc>
          <w:tcPr>
            <w:tcW w:type="dxa" w:w="1440"/>
          </w:tcPr>
          <w:p>
            <w:r>
              <w:t>627p32</w:t>
            </w:r>
          </w:p>
        </w:tc>
        <w:tc>
          <w:tcPr>
            <w:tcW w:type="dxa" w:w="1440"/>
          </w:tcPr>
          <w:p>
            <w:r>
              <w:t>Typo: 十大凶宅 for 十大凶灾 (627p32)</w:t>
            </w:r>
          </w:p>
        </w:tc>
        <w:tc>
          <w:tcPr>
            <w:tcW w:type="dxa" w:w="1440"/>
          </w:tcPr>
          <w:p>
            <w:r>
              <w:t>Replace 宅 with 灾 at 627p32, giving 乃是十大凶灾之一.</w:t>
            </w:r>
          </w:p>
        </w:tc>
        <w:tc>
          <w:tcPr>
            <w:tcW w:type="dxa" w:w="1440"/>
          </w:tcPr>
          <w:p>
            <w:r>
              <w:t>0.9</w:t>
            </w:r>
          </w:p>
        </w:tc>
        <w:tc>
          <w:tcPr>
            <w:tcW w:type="dxa" w:w="1440"/>
          </w:tcPr>
          <w:p>
            <w:r>
              <w:t>Held</w:t>
            </w:r>
          </w:p>
        </w:tc>
      </w:tr>
      <w:tr>
        <w:tc>
          <w:tcPr>
            <w:tcW w:type="dxa" w:w="1440"/>
          </w:tcPr>
          <w:p>
            <w:r>
              <w:t>SR-385</w:t>
            </w:r>
          </w:p>
        </w:tc>
        <w:tc>
          <w:tcPr>
            <w:tcW w:type="dxa" w:w="1440"/>
          </w:tcPr>
          <w:p>
            <w:r>
              <w:t>627p5</w:t>
            </w:r>
          </w:p>
        </w:tc>
        <w:tc>
          <w:tcPr>
            <w:tcW w:type="dxa" w:w="1440"/>
          </w:tcPr>
          <w:p>
            <w:r>
              <w:t>Query: 支援援兵 (627p5)</w:t>
            </w:r>
          </w:p>
        </w:tc>
        <w:tc>
          <w:tcPr>
            <w:tcW w:type="dxa" w:w="1440"/>
          </w:tcPr>
          <w:p>
            <w:r>
              <w:t>Query. Probably 支援，援兵 or 支援的援兵. No change without a context check.</w:t>
            </w:r>
          </w:p>
        </w:tc>
        <w:tc>
          <w:tcPr>
            <w:tcW w:type="dxa" w:w="1440"/>
          </w:tcPr>
          <w:p>
            <w:r>
              <w:t>0.4</w:t>
            </w:r>
          </w:p>
        </w:tc>
        <w:tc>
          <w:tcPr>
            <w:tcW w:type="dxa" w:w="1440"/>
          </w:tcPr>
          <w:p>
            <w:r>
              <w:t>Query</w:t>
            </w:r>
          </w:p>
        </w:tc>
      </w:tr>
      <w:tr>
        <w:tc>
          <w:tcPr>
            <w:tcW w:type="dxa" w:w="1440"/>
          </w:tcPr>
          <w:p>
            <w:r>
              <w:t>SR-386</w:t>
            </w:r>
          </w:p>
        </w:tc>
        <w:tc>
          <w:tcPr>
            <w:tcW w:type="dxa" w:w="1440"/>
          </w:tcPr>
          <w:p>
            <w:r>
              <w:t>627p52</w:t>
            </w:r>
          </w:p>
        </w:tc>
        <w:tc>
          <w:tcPr>
            <w:tcW w:type="dxa" w:w="1440"/>
          </w:tcPr>
          <w:p>
            <w:r>
              <w:t>Query: 悍勇无端 for 悍勇无匹? (627p52)</w:t>
            </w:r>
          </w:p>
        </w:tc>
        <w:tc>
          <w:tcPr>
            <w:tcW w:type="dxa" w:w="1440"/>
          </w:tcPr>
          <w:p>
            <w:r>
              <w:t>Query. Decide at reconciliation. No text change.</w:t>
            </w:r>
          </w:p>
        </w:tc>
        <w:tc>
          <w:tcPr>
            <w:tcW w:type="dxa" w:w="1440"/>
          </w:tcPr>
          <w:p>
            <w:r>
              <w:t>0.3</w:t>
            </w:r>
          </w:p>
        </w:tc>
        <w:tc>
          <w:tcPr>
            <w:tcW w:type="dxa" w:w="1440"/>
          </w:tcPr>
          <w:p>
            <w:r>
              <w:t>Query</w:t>
            </w:r>
          </w:p>
        </w:tc>
      </w:tr>
      <w:tr>
        <w:tc>
          <w:tcPr>
            <w:tcW w:type="dxa" w:w="1440"/>
          </w:tcPr>
          <w:p>
            <w:r>
              <w:t>SR-387</w:t>
            </w:r>
          </w:p>
        </w:tc>
        <w:tc>
          <w:tcPr>
            <w:tcW w:type="dxa" w:w="1440"/>
          </w:tcPr>
          <w:p>
            <w:r>
              <w:t>629p78</w:t>
            </w:r>
          </w:p>
        </w:tc>
        <w:tc>
          <w:tcPr>
            <w:tcW w:type="dxa" w:w="1440"/>
          </w:tcPr>
          <w:p>
            <w:r>
              <w:t>Query: 鸿运蛊 as shorthand for 鸿运齐天蛊 (629p78)</w:t>
            </w:r>
          </w:p>
        </w:tc>
        <w:tc>
          <w:tcPr>
            <w:tcW w:type="dxa" w:w="1440"/>
          </w:tcPr>
          <w:p>
            <w:r>
              <w:t>Query. 629p80 uses the full name. Decide at reconciliation. No text change.</w:t>
            </w:r>
          </w:p>
        </w:tc>
        <w:tc>
          <w:tcPr>
            <w:tcW w:type="dxa" w:w="1440"/>
          </w:tcPr>
          <w:p>
            <w:r>
              <w:t>0.25</w:t>
            </w:r>
          </w:p>
        </w:tc>
        <w:tc>
          <w:tcPr>
            <w:tcW w:type="dxa" w:w="1440"/>
          </w:tcPr>
          <w:p>
            <w:r>
              <w:t>Query</w:t>
            </w:r>
          </w:p>
        </w:tc>
      </w:tr>
      <w:tr>
        <w:tc>
          <w:tcPr>
            <w:tcW w:type="dxa" w:w="1440"/>
          </w:tcPr>
          <w:p>
            <w:r>
              <w:t>SR-388</w:t>
            </w:r>
          </w:p>
        </w:tc>
        <w:tc>
          <w:tcPr>
            <w:tcW w:type="dxa" w:w="1440"/>
          </w:tcPr>
          <w:p>
            <w:r>
              <w:t>631p75</w:t>
            </w:r>
          </w:p>
        </w:tc>
        <w:tc>
          <w:tcPr>
            <w:tcW w:type="dxa" w:w="1440"/>
          </w:tcPr>
          <w:p>
            <w:r>
              <w:t>Count: 一只五只无相手 (631p75)</w:t>
            </w:r>
          </w:p>
        </w:tc>
        <w:tc>
          <w:tcPr>
            <w:tcW w:type="dxa" w:w="1440"/>
          </w:tcPr>
          <w:p>
            <w:r>
              <w:t>Held pending reconciliation. 五只无相手 is also used at 630p74 and 631p60, while 五指无相手 is used at 629p86 and 631p78. Repair only if the count is confirmed.</w:t>
            </w:r>
          </w:p>
        </w:tc>
        <w:tc>
          <w:tcPr>
            <w:tcW w:type="dxa" w:w="1440"/>
          </w:tcPr>
          <w:p>
            <w:r>
              <w:t>0.5</w:t>
            </w:r>
          </w:p>
        </w:tc>
        <w:tc>
          <w:tcPr>
            <w:tcW w:type="dxa" w:w="1440"/>
          </w:tcPr>
          <w:p>
            <w:r>
              <w:t>Held query</w:t>
            </w:r>
          </w:p>
        </w:tc>
      </w:tr>
      <w:tr>
        <w:tc>
          <w:tcPr>
            <w:tcW w:type="dxa" w:w="1440"/>
          </w:tcPr>
          <w:p>
            <w:r>
              <w:t>SR-389</w:t>
            </w:r>
          </w:p>
        </w:tc>
        <w:tc>
          <w:tcPr>
            <w:tcW w:type="dxa" w:w="1440"/>
          </w:tcPr>
          <w:p>
            <w:r>
              <w:t>634p59</w:t>
            </w:r>
          </w:p>
        </w:tc>
        <w:tc>
          <w:tcPr>
            <w:tcW w:type="dxa" w:w="1440"/>
          </w:tcPr>
          <w:p>
            <w:r>
              <w:t>Query: 一片瓦铄 for 瓦砾? (634p59)</w:t>
            </w:r>
          </w:p>
        </w:tc>
        <w:tc>
          <w:tcPr>
            <w:tcW w:type="dxa" w:w="1440"/>
          </w:tcPr>
          <w:p>
            <w:r>
              <w:t>Query. 瓦砾 has no corpus hits. Decide at reconciliation. No text change.</w:t>
            </w:r>
          </w:p>
        </w:tc>
        <w:tc>
          <w:tcPr>
            <w:tcW w:type="dxa" w:w="1440"/>
          </w:tcPr>
          <w:p>
            <w:r>
              <w:t>0.35</w:t>
            </w:r>
          </w:p>
        </w:tc>
        <w:tc>
          <w:tcPr>
            <w:tcW w:type="dxa" w:w="1440"/>
          </w:tcPr>
          <w:p>
            <w:r>
              <w:t>Query</w:t>
            </w:r>
          </w:p>
        </w:tc>
      </w:tr>
      <w:tr>
        <w:tc>
          <w:tcPr>
            <w:tcW w:type="dxa" w:w="1440"/>
          </w:tcPr>
          <w:p>
            <w:r>
              <w:t>SR-390</w:t>
            </w:r>
          </w:p>
        </w:tc>
        <w:tc>
          <w:tcPr>
            <w:tcW w:type="dxa" w:w="1440"/>
          </w:tcPr>
          <w:p>
            <w:r>
              <w:t>637p61</w:t>
            </w:r>
          </w:p>
        </w:tc>
        <w:tc>
          <w:tcPr>
            <w:tcW w:type="dxa" w:w="1440"/>
          </w:tcPr>
          <w:p>
            <w:r>
              <w:t>Query: 光斓斑点 for 光斑斑点? (637p61)</w:t>
            </w:r>
          </w:p>
        </w:tc>
        <w:tc>
          <w:tcPr>
            <w:tcW w:type="dxa" w:w="1440"/>
          </w:tcPr>
          <w:p>
            <w:r>
              <w:t>Query. 光斑 is used at 62p14 and 145p29. Decide at reconciliation. No text change.</w:t>
            </w:r>
          </w:p>
        </w:tc>
        <w:tc>
          <w:tcPr>
            <w:tcW w:type="dxa" w:w="1440"/>
          </w:tcPr>
          <w:p>
            <w:r>
              <w:t>0.35</w:t>
            </w:r>
          </w:p>
        </w:tc>
        <w:tc>
          <w:tcPr>
            <w:tcW w:type="dxa" w:w="1440"/>
          </w:tcPr>
          <w:p>
            <w:r>
              <w:t>Query</w:t>
            </w:r>
          </w:p>
        </w:tc>
      </w:tr>
      <w:tr>
        <w:tc>
          <w:tcPr>
            <w:tcW w:type="dxa" w:w="1440"/>
          </w:tcPr>
          <w:p>
            <w:r>
              <w:t>SR-391</w:t>
            </w:r>
          </w:p>
        </w:tc>
        <w:tc>
          <w:tcPr>
            <w:tcW w:type="dxa" w:w="1440"/>
          </w:tcPr>
          <w:p>
            <w:r>
              <w:t>642p57</w:t>
            </w:r>
          </w:p>
        </w:tc>
        <w:tc>
          <w:tcPr>
            <w:tcW w:type="dxa" w:w="1440"/>
          </w:tcPr>
          <w:p>
            <w:r>
              <w:t>Punctuation: closing quote without 。 (642p57)</w:t>
            </w:r>
          </w:p>
        </w:tc>
        <w:tc>
          <w:tcPr>
            <w:tcW w:type="dxa" w:w="1440"/>
          </w:tcPr>
          <w:p>
            <w:r>
              <w:t>Held. Repair by adding 。 before ” only if house style requires it.</w:t>
            </w:r>
          </w:p>
        </w:tc>
        <w:tc>
          <w:tcPr>
            <w:tcW w:type="dxa" w:w="1440"/>
          </w:tcPr>
          <w:p>
            <w:r>
              <w:t>0.5</w:t>
            </w:r>
          </w:p>
        </w:tc>
        <w:tc>
          <w:tcPr>
            <w:tcW w:type="dxa" w:w="1440"/>
          </w:tcPr>
          <w:p>
            <w:r>
              <w:t>Held</w:t>
            </w:r>
          </w:p>
        </w:tc>
      </w:tr>
      <w:tr>
        <w:tc>
          <w:tcPr>
            <w:tcW w:type="dxa" w:w="1440"/>
          </w:tcPr>
          <w:p>
            <w:r>
              <w:t>SR-392</w:t>
            </w:r>
          </w:p>
        </w:tc>
        <w:tc>
          <w:tcPr>
            <w:tcW w:type="dxa" w:w="1440"/>
          </w:tcPr>
          <w:p>
            <w:r>
              <w:t>642p66</w:t>
            </w:r>
          </w:p>
        </w:tc>
        <w:tc>
          <w:tcPr>
            <w:tcW w:type="dxa" w:w="1440"/>
          </w:tcPr>
          <w:p>
            <w:r>
              <w:t>Query: 大众普通 (642p66)</w:t>
            </w:r>
          </w:p>
        </w:tc>
        <w:tc>
          <w:tcPr>
            <w:tcW w:type="dxa" w:w="1440"/>
          </w:tcPr>
          <w:p>
            <w:r>
              <w:t>Query. Redundant but grammatical. Decide at reconciliation. No text change.</w:t>
            </w:r>
          </w:p>
        </w:tc>
        <w:tc>
          <w:tcPr>
            <w:tcW w:type="dxa" w:w="1440"/>
          </w:tcPr>
          <w:p>
            <w:r>
              <w:t>0.25</w:t>
            </w:r>
          </w:p>
        </w:tc>
        <w:tc>
          <w:tcPr>
            <w:tcW w:type="dxa" w:w="1440"/>
          </w:tcPr>
          <w:p>
            <w:r>
              <w:t>Query</w:t>
            </w:r>
          </w:p>
        </w:tc>
      </w:tr>
      <w:tr>
        <w:tc>
          <w:tcPr>
            <w:tcW w:type="dxa" w:w="1440"/>
          </w:tcPr>
          <w:p>
            <w:r>
              <w:t>SR-393</w:t>
            </w:r>
          </w:p>
        </w:tc>
        <w:tc>
          <w:tcPr>
            <w:tcW w:type="dxa" w:w="1440"/>
          </w:tcPr>
          <w:p>
            <w:r>
              <w:t>643p69</w:t>
            </w:r>
          </w:p>
        </w:tc>
        <w:tc>
          <w:tcPr>
            <w:tcW w:type="dxa" w:w="1440"/>
          </w:tcPr>
          <w:p>
            <w:r>
              <w:t>Typo: 伤口出还缠绕 for 伤口处还缠绕 (643p69)</w:t>
            </w:r>
          </w:p>
        </w:tc>
        <w:tc>
          <w:tcPr>
            <w:tcW w:type="dxa" w:w="1440"/>
          </w:tcPr>
          <w:p>
            <w:r>
              <w:t>Replace 出 with 处 at 643p69. 137p89 has the same 伤口出; review together.</w:t>
            </w:r>
          </w:p>
        </w:tc>
        <w:tc>
          <w:tcPr>
            <w:tcW w:type="dxa" w:w="1440"/>
          </w:tcPr>
          <w:p>
            <w:r>
              <w:t>0.85</w:t>
            </w:r>
          </w:p>
        </w:tc>
        <w:tc>
          <w:tcPr>
            <w:tcW w:type="dxa" w:w="1440"/>
          </w:tcPr>
          <w:p>
            <w:r>
              <w:t>Held</w:t>
            </w:r>
          </w:p>
        </w:tc>
      </w:tr>
      <w:tr>
        <w:tc>
          <w:tcPr>
            <w:tcW w:type="dxa" w:w="1440"/>
          </w:tcPr>
          <w:p>
            <w:r>
              <w:t>SR-394</w:t>
            </w:r>
          </w:p>
        </w:tc>
        <w:tc>
          <w:tcPr>
            <w:tcW w:type="dxa" w:w="1440"/>
          </w:tcPr>
          <w:p>
            <w:r>
              <w:t>645p14</w:t>
            </w:r>
          </w:p>
        </w:tc>
        <w:tc>
          <w:tcPr>
            <w:tcW w:type="dxa" w:w="1440"/>
          </w:tcPr>
          <w:p>
            <w:r>
              <w:t>Gu identity: 近水楼台中的七转招灾仙蛊 (645p14)</w:t>
            </w:r>
          </w:p>
        </w:tc>
        <w:tc>
          <w:tcPr>
            <w:tcW w:type="dxa" w:w="1440"/>
          </w:tcPr>
          <w:p>
            <w:r>
              <w:t>Query. 641p59–62 names 水乳交融 as the core and 浪迹天涯 and 乐山乐水 as the auxiliaries. 招灾仙蛊 is not among them. Confirm before any change. Tied to SR-348.</w:t>
            </w:r>
          </w:p>
        </w:tc>
        <w:tc>
          <w:tcPr>
            <w:tcW w:type="dxa" w:w="1440"/>
          </w:tcPr>
          <w:p>
            <w:r>
              <w:t>0.5</w:t>
            </w:r>
          </w:p>
        </w:tc>
        <w:tc>
          <w:tcPr>
            <w:tcW w:type="dxa" w:w="1440"/>
          </w:tcPr>
          <w:p>
            <w:r>
              <w:t>Query</w:t>
            </w:r>
          </w:p>
        </w:tc>
      </w:tr>
    </w:tbl>
    <w:p>
      <w:pPr>
        <w:pStyle w:val="Heading1"/>
      </w:pPr>
      <w:r>
        <w:t>4. Context notes (no status change)</w:t>
      </w:r>
    </w:p>
    <w:p>
      <w:pPr>
        <w:pStyle w:val="ListBullet"/>
      </w:pPr>
      <w:r>
        <w:t>SR-332, SR-336, SR-348, SR-377 and SR-378: see Section 2.</w:t>
      </w:r>
    </w:p>
    <w:p>
      <w:pPr>
        <w:pStyle w:val="ListBullet"/>
      </w:pPr>
      <w:r>
        <w:t>No proposal is withdrawn or changed by this batch.</w:t>
      </w:r>
    </w:p>
    <w:p>
      <w:pPr>
        <w:pStyle w:val="ListBullet"/>
      </w:pPr>
      <w:r>
        <w:t>Not candidates (checked and treated as style or established): 特意, 颠乱雷球, 鱼泡蛊, 乞丐蛾, 沙硕, 血道蛊仙, 沟通宝黄天, 十绝体, 木鸡蛊, 飞手雪, 五百年前世, 楞 and 愣, 耶律莱, 太上家老, 江山如故 and 人如故 (separate Gu), 白凝冰, 大雪山, 黄杏仙元, 苏仙夜奔, 六转青提仙元, 洞地蛊, 通天蛊, 符底抽薪蛊, 乌七蛊, 十大奇蛊, 第三十六代 (灵缘斋), 薄青, 红莲魔尊, 七指无相手.</w:t>
      </w:r>
    </w:p>
    <w:p>
      <w:pPr>
        <w:pStyle w:val="ListBullet"/>
      </w:pPr>
      <w:r>
        <w:t>Timeline: 639p72 数万年前, 639p79 数万年之久 and 645p30 万年 are scale references only. No conflict is recorded.</w:t>
      </w:r>
    </w:p>
    <w:p>
      <w:pPr>
        <w:pStyle w:val="Heading1"/>
      </w:pPr>
      <w:r>
        <w:t>5. Witness collation (Hetushu)</w:t>
      </w:r>
    </w:p>
    <w:p>
      <w:pPr>
        <w:pStyle w:val="ListBullet"/>
      </w:pPr>
      <w:r>
        <w:t>Source: Hetushu book 7640, pages 5345864–5345883 (ch626–645). Cached in fact-check-033/. Summary: fact-check-033/collation-summary.json.</w:t>
      </w:r>
    </w:p>
    <w:p>
      <w:pPr>
        <w:pStyle w:val="ListBullet"/>
      </w:pPr>
      <w:r>
        <w:t>Mean exact-line agreement after watermark removal is about 0.96 (minimum 0.90 at ch645). Differences are mostly watermark and segmentation.</w:t>
      </w:r>
    </w:p>
    <w:p>
      <w:pPr>
        <w:pStyle w:val="ListBullet"/>
      </w:pPr>
      <w:r>
        <w:t>Witness copies the source for every candidate in Section 3: 凶宅, 支援援兵, 悍勇无端, 鸿运蛊, 五只无相手, 瓦铄, 光斓斑点, the missing 。, 大众普通, 伤口出 and 七转招灾仙蛊. The witness therefore does not confirm or reject any repair. The repairs remain internal evidence only.</w:t>
      </w:r>
    </w:p>
    <w:p>
      <w:pPr>
        <w:pStyle w:val="Heading1"/>
      </w:pPr>
      <w:r>
        <w:t>6. Pending and next</w:t>
      </w:r>
    </w:p>
    <w:p>
      <w:pPr>
        <w:pStyle w:val="ListBullet"/>
      </w:pPr>
      <w:r>
        <w:t>Reading continues from 646 in the next batch. Reading progress is recorded through 645 in reading-progress.json.</w:t>
      </w:r>
    </w:p>
    <w:p>
      <w:pPr>
        <w:pStyle w:val="ListBullet"/>
      </w:pPr>
      <w:r>
        <w:t>Items SR-384 to SR-394 need whole-novel reconciliation before any publication decision. SR-393 and 137p89 should be reviewed together.</w:t>
      </w:r>
    </w:p>
    <w:p>
      <w:pPr>
        <w:pStyle w:val="ListBullet"/>
      </w:pPr>
      <w:r>
        <w:t>Whole-novel temporal reconciliation remains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