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Whole-novel source audit</w:t>
      </w:r>
    </w:p>
    <w:p>
      <w:pPr>
        <w:pStyle w:val="Heading1"/>
      </w:pPr>
      <w:r>
        <w:t>Aperture percentages, essence accounting, and regional travel</w:t>
      </w:r>
    </w:p>
    <w:p>
      <w:r/>
      <w:r>
        <w:rPr>
          <w:b/>
        </w:rPr>
        <w:t>For The Omniarch | 13 October 2026</w:t>
      </w:r>
      <w:r/>
    </w:p>
    <w:p>
      <w:pPr>
        <w:pStyle w:val="Heading1"/>
      </w:pPr>
      <w:r>
        <w:t>Status: full-corpus screening complete; not a complete line-by-line reading</w:t>
      </w:r>
    </w:p>
    <w:p>
      <w:r>
        <w:t xml:space="preserve">The investigation covers </w:t>
      </w:r>
      <w:r>
        <w:rPr>
          <w:b/>
        </w:rPr>
        <w:t>all 2,334 narrative chapters in the supplied EPUB’s actual reading order</w:t>
      </w:r>
      <w:r>
        <w:t>. It is a topical source audit, not a certification of every sentence of the novel or an English translation of all chapters.</w:t>
      </w:r>
    </w:p>
    <w:p>
      <w:r>
        <w:t xml:space="preserve">I screened 213,892 nonempty paragraph elements, containing 7,275,173 characters, for Chinese expressions concerning aperture geometry, aptitude, essence quantities, regional scale, barriers, and travel. The initial screen produced 959 distinct candidate paragraphs. A second screen added neighbouring-paragraph context and produced 225 additional candidates. I inspected the texts of all </w:t>
      </w:r>
      <w:r>
        <w:rPr>
          <w:b/>
        </w:rPr>
        <w:t>1,184 candidate paragraphs</w:t>
      </w:r>
      <w:r>
        <w:t>, including false positives, and checked decisive passages with additional surrounding text.</w:t>
      </w:r>
    </w:p>
    <w:p>
      <w:r/>
      <w:r>
        <w:rPr>
          <w:b/>
        </w:rPr>
        <w:t>The full novel has not been read line by line in this pass.</w:t>
      </w:r>
      <w:r>
        <w:t xml:space="preserve"> The search rules can miss indirect references, unfamiliar wording, and relationships spread over distant scenes. Candidate-excerpt inspection is not equivalent to contextual certification of every chapter. The coverage register makes that limitation explicit rather than labelling every screened chapter “verified”.</w:t>
      </w:r>
    </w:p>
    <w:p>
      <w:pPr>
        <w:pStyle w:val="Heading2"/>
      </w:pPr>
      <w:r>
        <w:t>Source and reproducibility</w:t>
      </w:r>
    </w:p>
    <w:p>
      <w:pPr>
        <w:pStyle w:val="ListBullet"/>
      </w:pPr>
      <w:r>
        <w:t xml:space="preserve">Base: </w:t>
      </w:r>
      <w:r>
        <w:rPr>
          <w:rFonts w:ascii="Consolas" w:hAnsi="Consolas"/>
          <w:sz w:val="18"/>
        </w:rPr>
        <w:t>benchmark/sources/Gu-Zhen-Ren.epub</w:t>
      </w:r>
      <w:r>
        <w:t>.</w:t>
      </w:r>
    </w:p>
    <w:p>
      <w:pPr>
        <w:pStyle w:val="ListBullet"/>
      </w:pPr>
      <w:r>
        <w:t xml:space="preserve">SHA-256: </w:t>
      </w:r>
      <w:r>
        <w:rPr>
          <w:rFonts w:ascii="Consolas" w:hAnsi="Consolas"/>
          <w:sz w:val="18"/>
        </w:rPr>
        <w:t>1ef1c29b6bddd7994f56696e2d091363aa8bbcee4889439465a9e2c51437dd5d</w:t>
      </w:r>
      <w:r>
        <w:t>.</w:t>
      </w:r>
    </w:p>
    <w:p>
      <w:pPr>
        <w:pStyle w:val="ListBullet"/>
      </w:pPr>
      <w:r>
        <w:t>Coverage: 2,334 narrative slots, excluding eleven front-matter/divider entries.</w:t>
      </w:r>
    </w:p>
    <w:p>
      <w:pPr>
        <w:pStyle w:val="ListBullet"/>
      </w:pPr>
      <w:r>
        <w:t xml:space="preserve">The last narrative slot is Volume 6, Chapter 368, </w:t>
      </w:r>
      <w:r>
        <w:rPr>
          <w:rFonts w:ascii="Consolas" w:hAnsi="Consolas"/>
          <w:sz w:val="18"/>
        </w:rPr>
        <w:t>chapter2365.html</w:t>
      </w:r>
      <w:r>
        <w:t>.</w:t>
      </w:r>
    </w:p>
    <w:p>
      <w:pPr>
        <w:pStyle w:val="ListBullet"/>
      </w:pPr>
      <w:r>
        <w:t>Corpus ordinals in the attached records follow this EPUB’s spine. They must not be mistaken for an invariant filename offset or automatically equated with another edition’s numbering.</w:t>
      </w:r>
    </w:p>
    <w:p>
      <w:pPr>
        <w:pStyle w:val="ListBullet"/>
      </w:pPr>
      <w:r>
        <w:t xml:space="preserve">Search scripts, category extracts, all candidate records, selected evidence, and coverage register are saved in </w:t>
      </w:r>
      <w:r>
        <w:rPr>
          <w:rFonts w:ascii="Consolas" w:hAnsi="Consolas"/>
          <w:sz w:val="18"/>
        </w:rPr>
        <w:t>editorial/whole-novel-audit/</w:t>
      </w:r>
      <w:r>
        <w:t>.</w:t>
      </w:r>
    </w:p>
    <w:p>
      <w:pPr>
        <w:pStyle w:val="ListBullet"/>
      </w:pPr>
      <w:r>
        <w:t>No source numbers or public chapters have been changed by this audit.</w:t>
      </w:r>
    </w:p>
    <w:p>
      <w:pPr>
        <w:pStyle w:val="Heading1"/>
      </w:pPr>
      <w:r>
        <w:t>Executive answer</w:t>
      </w:r>
    </w:p>
    <w:p>
      <w:r/>
      <w:r>
        <w:rPr>
          <w:b/>
        </w:rPr>
        <w:t>Apertures:</w:t>
      </w:r>
      <w:r>
        <w:t xml:space="preserve"> the wider evidence supports keeping the source’s aptitude/storage figures and treating explicit reserve arithmetic as capacity-based percentage points. It does not support geometrically converting every percentage. The later text also proves that some fractions refer to a character’s personal maximum, transfer efficiency, or a different quantity. Those must retain their own denominators.</w:t>
      </w:r>
    </w:p>
    <w:p>
      <w:r/>
      <w:r>
        <w:rPr>
          <w:b/>
        </w:rPr>
        <w:t>Travel:</w:t>
      </w:r>
      <w:r>
        <w:t xml:space="preserve"> interregional migration is supported by specific mechanics, not merely by a vague appeal to supernatural power. Mortal cultivators can cross barriers more easily than immortals; ordinary beasts and beast kings are distinguished from desolate beasts; later travellers use explicitly described teleportation networks, Fixed Immortal Travel, Star Gate, and heavenly routes. These mechanisms explain many journeys. They do not establish a fully consistent numerical map.</w:t>
      </w:r>
    </w:p>
    <w:p>
      <w:r/>
      <w:r>
        <w:rPr>
          <w:b/>
        </w:rPr>
        <w:t>Important correction to my earlier account:</w:t>
      </w:r>
      <w:r>
        <w:t xml:space="preserve"> Volume 1, Chapter 80 explicitly supplies the First Revolution essence equivalences through all four stages. The evidence is stronger than the isolated initial-to-middle example I previously cited. The article has been revised accordingly.</w:t>
      </w:r>
    </w:p>
    <w:p>
      <w:r/>
      <w:r>
        <w:rPr>
          <w:b/>
        </w:rPr>
        <w:t>New numerical queries:</w:t>
      </w:r>
      <w:r>
        <w:t xml:space="preserve"> the corpus contains a 45% reading against Fang Yuan’s repeated 44%, a 42%/43% continuity conflict, and an ambiguous increment in Bai Ning Bing’s recovery. These are local textual issues, not reasons to rebuild the entire aptitude system.</w:t>
      </w:r>
    </w:p>
    <w:p>
      <w:pPr>
        <w:pStyle w:val="Heading1"/>
      </w:pPr>
      <w:r>
        <w:t>1. What the aperture percentages actually do</w:t>
      </w:r>
    </w:p>
    <w:p>
      <w:pPr>
        <w:pStyle w:val="Heading2"/>
      </w:pPr>
      <w:r>
        <w:t>A01. Volume is explicit, not merely an editorial preference</w:t>
      </w:r>
    </w:p>
    <w:p>
      <w:r/>
      <w:r>
        <w:rPr>
          <w:b/>
        </w:rPr>
        <w:t>Volume 1, Chapter 10, `chapter18.html`, p19:</w:t>
      </w:r>
      <w:r/>
    </w:p>
    <w:p>
      <w:pPr>
        <w:pStyle w:val="Quote"/>
      </w:pPr>
      <w:r>
        <w:t>整个元海体积，占据空窍的四成四。</w:t>
      </w:r>
    </w:p>
    <w:p>
      <w:r>
        <w:t>Close sense:</w:t>
      </w:r>
    </w:p>
    <w:p>
      <w:pPr>
        <w:pStyle w:val="Quote"/>
      </w:pPr>
      <w:r>
        <w:t>The entire primeval sea occupies forty-four percent of the aperture’s volume.</w:t>
      </w:r>
    </w:p>
    <w:p>
      <w:r>
        <w:t>The same chapter again says the sea recovers to 四成四的体积. Thus a capacity/volume interpretation has direct textual support. Chapter 6’s phrasing about height is not the only witness to the intended measurement.</w:t>
      </w:r>
    </w:p>
    <w:p>
      <w:pPr>
        <w:pStyle w:val="Heading2"/>
      </w:pPr>
      <w:r>
        <w:t>A02. Chapter 80 supplies an explicit subtraction</w:t>
      </w:r>
    </w:p>
    <w:p>
      <w:r/>
      <w:r>
        <w:rPr>
          <w:b/>
        </w:rPr>
        <w:t>Volume 1, Chapter 80, `chapter88.html`, pp39–40:</w:t>
      </w:r>
      <w:r/>
    </w:p>
    <w:p>
      <w:pPr>
        <w:pStyle w:val="Quote"/>
      </w:pPr>
      <w:r>
        <w:t>元海圆满时，占据四成四的体积。……如今真元剩着三成六分。</w:t>
      </w:r>
    </w:p>
    <w:p>
      <w:r>
        <w:t>&gt;</w:t>
      </w:r>
    </w:p>
    <w:p>
      <w:pPr>
        <w:pStyle w:val="Quote"/>
      </w:pPr>
      <w:r>
        <w:t>算一算的话，只消耗了八分真元……</w:t>
      </w:r>
    </w:p>
    <w:p>
      <w:r>
        <w:t>The relationship is:</w:t>
      </w:r>
    </w:p>
    <w:p>
      <w:pPr>
        <w:pStyle w:val="Quote"/>
      </w:pPr>
      <w:r>
        <w:t>44 capacity points − 8 capacity points = 36 capacity points.</w:t>
      </w:r>
    </w:p>
    <w:p>
      <w:r>
        <w:t>It is not an eight-percent reduction of the personal maximum. That would consume 3.52 points and leave 40.48. The narrative’s own subtraction settles the local denominator.</w:t>
      </w:r>
    </w:p>
    <w:p>
      <w:r/>
      <w:r>
        <w:rPr>
          <w:b/>
        </w:rPr>
        <w:t>Editorial implication:</w:t>
      </w:r>
      <w:r>
        <w:t xml:space="preserve"> preserve 44, 8, and 36. Where English risks ambiguity, distinguish “eight percentage points of full aperture capacity” from “eight percent of his reserve”. The former is precise explanatory wording; repeated prose can use a less intrusive established shorthand once the scale has been introduced.</w:t>
      </w:r>
    </w:p>
    <w:p>
      <w:pPr>
        <w:pStyle w:val="Heading2"/>
      </w:pPr>
      <w:r>
        <w:t>A03. The same accounting continues after aptitude rises</w:t>
      </w:r>
    </w:p>
    <w:p>
      <w:r/>
      <w:r>
        <w:rPr>
          <w:b/>
        </w:rPr>
        <w:t>Volume 2, Chapter 100, `chapter307.html`, p1:</w:t>
      </w:r>
      <w:r/>
    </w:p>
    <w:p>
      <w:pPr>
        <w:pStyle w:val="Quote"/>
      </w:pPr>
      <w:r>
        <w:t>九成的真元消耗掉了七成，还只剩下两成……</w:t>
      </w:r>
    </w:p>
    <w:p>
      <w:r>
        <w:t>Close sense:</w:t>
      </w:r>
    </w:p>
    <w:p>
      <w:pPr>
        <w:pStyle w:val="Quote"/>
      </w:pPr>
      <w:r>
        <w:t>Of the ninety-percent reserve, seventy percentage points had been consumed, leaving twenty.</w:t>
      </w:r>
    </w:p>
    <w:p>
      <w:r>
        <w:t xml:space="preserve">The arithmetic is </w:t>
      </w:r>
      <w:r>
        <w:rPr>
          <w:b/>
        </w:rPr>
        <w:t>90 − 70 = 20</w:t>
      </w:r>
      <w:r>
        <w:t xml:space="preserve">, not </w:t>
      </w:r>
      <w:r>
        <w:rPr>
          <w:b/>
        </w:rPr>
        <w:t>90 × 0.30 = 27</w:t>
      </w:r>
      <w:r>
        <w:t>. This is decisive evidence against automatically reading every consumption percentage as a fraction of the starting reserve.</w:t>
      </w:r>
    </w:p>
    <w:p>
      <w:pPr>
        <w:pStyle w:val="Heading2"/>
      </w:pPr>
      <w:r>
        <w:t>A04. A late dream episode uses the same finite-use logic</w:t>
      </w:r>
    </w:p>
    <w:p>
      <w:r/>
      <w:r>
        <w:rPr>
          <w:b/>
        </w:rPr>
        <w:t>Volume 5, Chapter 481, `chapter1522.html`, pp77–78:</w:t>
      </w:r>
      <w:r/>
    </w:p>
    <w:p>
      <w:pPr>
        <w:pStyle w:val="Quote"/>
      </w:pPr>
      <w:r>
        <w:t>……只需要一转青铜真元一成而已！</w:t>
      </w:r>
    </w:p>
    <w:p>
      <w:r>
        <w:t>&gt;</w:t>
      </w:r>
    </w:p>
    <w:p>
      <w:pPr>
        <w:pStyle w:val="Quote"/>
      </w:pPr>
      <w:r>
        <w:t>……真元最高不过两成多。用这蛊虫，只能用两次而已。</w:t>
      </w:r>
    </w:p>
    <w:p>
      <w:r>
        <w:t>The youthful Thieving Heaven has a reserve a little above 20%, while the particular Gu costs 10 capacity points per activation. Two uses fit. The numerical convention is not confined to the first hundred chapters.</w:t>
      </w:r>
    </w:p>
    <w:p>
      <w:r>
        <w:t>This is a dream episode, not an instruction to assume all future Gu have that same activation cost.</w:t>
      </w:r>
    </w:p>
    <w:p>
      <w:pPr>
        <w:pStyle w:val="Heading2"/>
      </w:pPr>
      <w:r>
        <w:t>A05. A different denominator is explicitly used elsewhere</w:t>
      </w:r>
    </w:p>
    <w:p>
      <w:r/>
      <w:r>
        <w:rPr>
          <w:b/>
        </w:rPr>
        <w:t>Volume 3, Chapter 67, `chapter483.html`, p30:</w:t>
      </w:r>
      <w:r/>
    </w:p>
    <w:p>
      <w:pPr>
        <w:pStyle w:val="Quote"/>
      </w:pPr>
      <w:r>
        <w:t>……现在空窍中已经不足巅峰时期的一半。</w:t>
      </w:r>
    </w:p>
    <w:p>
      <w:r>
        <w:t xml:space="preserve">Here the reference is </w:t>
      </w:r>
      <w:r>
        <w:rPr>
          <w:b/>
        </w:rPr>
        <w:t>less than half of his peak reserve</w:t>
      </w:r>
      <w:r>
        <w:t>. It is a fraction of that character’s former/full reserve, not necessarily less than 50% of the aperture’s entire capacity.</w:t>
      </w:r>
    </w:p>
    <w:p>
      <w:r>
        <w:t>This is why a global substitution of all fractions into aperture-capacity percentages would be wrong. The source uses more than one kind of measurement.</w:t>
      </w:r>
    </w:p>
    <w:p>
      <w:pPr>
        <w:pStyle w:val="Heading2"/>
      </w:pPr>
      <w:r>
        <w:t>A06. Transfer efficiency is another distinct percentage</w:t>
      </w:r>
    </w:p>
    <w:p>
      <w:r/>
      <w:r>
        <w:rPr>
          <w:b/>
        </w:rPr>
        <w:t>Volume 2, Chapter 31, `chapter238.html`, pp51–60 and 78:</w:t>
      </w:r>
      <w:r/>
    </w:p>
    <w:p>
      <w:r>
        <w:t>The Flesh-Bone Unity sequence gives retention levels of 20%, 40%, 60%, 80%, and 100% of the transferred essence, depending on quality. In the depicted 60% case, a ten-point amount becomes six points. Sending it back reduces it again to a little over three and a half points.</w:t>
      </w:r>
    </w:p>
    <w:p>
      <w:pPr>
        <w:pStyle w:val="Quote"/>
      </w:pPr>
      <w:r>
        <w:t>10 × 0.60 × 0.60 = 3.6.</w:t>
      </w:r>
    </w:p>
    <w:p>
      <w:r>
        <w:t>The source’s 三分半有余 is compatible with that result. Do not “repair” it to six or ten. Nor should “60% transfer efficiency” be described as sixty capacity points.</w:t>
      </w:r>
    </w:p>
    <w:p>
      <w:pPr>
        <w:pStyle w:val="Heading2"/>
      </w:pPr>
      <w:r>
        <w:t>A07. Two apertures do not mean one aperture overfilled to 180%</w:t>
      </w:r>
    </w:p>
    <w:p>
      <w:r/>
      <w:r>
        <w:rPr>
          <w:b/>
        </w:rPr>
        <w:t>Volume 2, Chapter 178, `chapter386.html`, p83:</w:t>
      </w:r>
      <w:r>
        <w:t xml:space="preserve"> Fang Yuan anticipates two ninety-percent apertures as 十八成, or 180% on the one-aperture reference scale.</w:t>
      </w:r>
    </w:p>
    <w:p>
      <w:r/>
      <w:r>
        <w:rPr>
          <w:b/>
        </w:rPr>
        <w:t>Volume 3, Chapter 99, `chapter515.html`, pp30–43:</w:t>
      </w:r>
      <w:r>
        <w:t xml:space="preserve"> the text later explicitly permits essence to be shared between his own two apertures. At that point the apertures can also be at different cultivation levels.</w:t>
      </w:r>
    </w:p>
    <w:p>
      <w:r>
        <w:t>The 180 figure is an aggregation across two stores, not a claim that one aperture contains 180% of its physical capacity. Retain the distinction between quantity, quality, and which aperture is being discussed.</w:t>
      </w:r>
    </w:p>
    <w:p>
      <w:pPr>
        <w:pStyle w:val="Heading2"/>
      </w:pPr>
      <w:r>
        <w:t>Recommended terminology policy</w:t>
      </w:r>
    </w:p>
    <w:p>
      <w:pPr>
        <w:pStyle w:val="ListNumber"/>
      </w:pPr>
      <w:r>
        <w:t xml:space="preserve">Use </w:t>
      </w:r>
      <w:r>
        <w:rPr>
          <w:b/>
        </w:rPr>
        <w:t>Grade A, Grade B, Grade C, Grade D</w:t>
      </w:r>
      <w:r>
        <w:t>, following your preference.</w:t>
      </w:r>
    </w:p>
    <w:p>
      <w:pPr>
        <w:pStyle w:val="ListNumber"/>
      </w:pPr>
      <w:r>
        <w:t>Preserve source aptitude values unless a particular textual conflict warrants an approved emendation.</w:t>
      </w:r>
    </w:p>
    <w:p>
      <w:pPr>
        <w:pStyle w:val="ListNumber"/>
      </w:pPr>
      <w:r>
        <w:t>For explicit storage accounting, use full aperture capacity as the denominator where the source establishes it.</w:t>
      </w:r>
    </w:p>
    <w:p>
      <w:pPr>
        <w:pStyle w:val="ListNumber"/>
      </w:pPr>
      <w:r>
        <w:t>Retain personal-reserve fractions, transfer efficiencies, and probabilities as distinct measurements.</w:t>
      </w:r>
    </w:p>
    <w:p>
      <w:pPr>
        <w:pStyle w:val="ListNumber"/>
      </w:pPr>
      <w:r>
        <w:t>Distinguish mortal apertures from immortal apertures and immortal-essence accounting.</w:t>
      </w:r>
    </w:p>
    <w:p>
      <w:pPr>
        <w:pStyle w:val="ListNumber"/>
      </w:pPr>
      <w:r>
        <w:t>Do not imply that every character’s aperture has an independently verified identical capacity in litres. The narrative’s normalised percentage scale does not supply that physical measurement.</w:t>
      </w:r>
    </w:p>
    <w:p>
      <w:pPr>
        <w:pStyle w:val="Heading1"/>
      </w:pPr>
      <w:r>
        <w:t>2. Height versus volume: what should actually change?</w:t>
      </w:r>
    </w:p>
    <w:p>
      <w:r>
        <w:t>Chapter 6 says the sea is below half the aperture’s height, “only forty-four percent”. Chapter 10 explicitly gives volume and describes the height only approximately. Later passages also associate percentage amounts with sea level, including Volume 1, Chapter 92 and Volume 2, Chapter 98.</w:t>
      </w:r>
    </w:p>
    <w:p>
      <w:r>
        <w:t>This means the tension is not solved by pretending the word “height” never appears after Chapter 6. But it also does not justify applying a geometric conversion to every number.</w:t>
      </w:r>
    </w:p>
    <w:p>
      <w:r>
        <w:t>For an ordinary sphere with a flat liquid surface, let x be liquid depth divided by the sphere’s full diameter. The volume fraction is:</w:t>
      </w:r>
    </w:p>
    <w:p>
      <w:pPr>
        <w:pStyle w:val="Quote"/>
      </w:pPr>
      <w:r>
        <w:t>V fraction = 3x² − 2x³.</w:t>
      </w:r>
    </w:p>
    <w:p>
      <w:r>
        <w:t>Therefore:</w:t>
      </w:r>
    </w:p>
    <w:p>
      <w:pPr>
        <w:pStyle w:val="ListBullet"/>
      </w:pPr>
      <w:r>
        <w:t>44% of full height corresponds to 41.0432% of full volume.</w:t>
      </w:r>
    </w:p>
    <w:p>
      <w:pPr>
        <w:pStyle w:val="ListBullet"/>
      </w:pPr>
      <w:r>
        <w:t>44% of full volume corresponds to approximately 45.9914% of full height.</w:t>
      </w:r>
    </w:p>
    <w:p>
      <w:r>
        <w:t>Those are modelling results, not new canonical aptitude readings. The supernatural space is not independently established as a Euclidean vessel in every detail; the calculation merely shows that the two literal descriptions are not identical under an ordinary spherical model.</w:t>
      </w:r>
    </w:p>
    <w:p>
      <w:r/>
      <w:r>
        <w:rPr>
          <w:b/>
        </w:rPr>
        <w:t>Recommended intervention:</w:t>
      </w:r>
      <w:r>
        <w:t xml:space="preserve"> where an exact numerical sea-level description conflicts with established capacity accounting, retain the capacity number and clarify the wording. Do not turn Fang Yuan’s 44% into 41.04%.</w:t>
      </w:r>
    </w:p>
    <w:p>
      <w:r>
        <w:t>Possible opening harmonisation:</w:t>
      </w:r>
    </w:p>
    <w:p>
      <w:pPr>
        <w:pStyle w:val="Quote"/>
      </w:pPr>
      <w:r>
        <w:t>The sea lay below the aperture’s midpoint, occupying forty-four percent of its total volume. With his Grade C aptitude, this was his personal limit.</w:t>
      </w:r>
    </w:p>
    <w:p>
      <w:r>
        <w:t>The below-midpoint image and 44% volume are compatible under the model. This would nevertheless be a documented editorial harmonisation of Chapter 6, not a claim that its Chinese literally says “volume”.</w:t>
      </w:r>
    </w:p>
    <w:p>
      <w:r/>
      <w:r>
        <w:rPr>
          <w:b/>
        </w:rPr>
        <w:t>Scope caution:</w:t>
      </w:r>
      <w:r>
        <w:t xml:space="preserve"> “the sea rose” or “the sea fell” does not itself need changing. Volume changes do alter a liquid level. The problem is the numerical identification of height with volume, not the presence of sea imagery.</w:t>
      </w:r>
    </w:p>
    <w:p>
      <w:pPr>
        <w:pStyle w:val="Heading1"/>
      </w:pPr>
      <w:r>
        <w:t>3. Stronger essence-conversion evidence changes the earlier explanation</w:t>
      </w:r>
    </w:p>
    <w:p>
      <w:r/>
      <w:r>
        <w:rPr>
          <w:b/>
        </w:rPr>
        <w:t>Volume 1, Chapter 80, `chapter88.html`, pp46–48:</w:t>
      </w:r>
      <w:r/>
    </w:p>
    <w:p>
      <w:pPr>
        <w:pStyle w:val="Quote"/>
      </w:pPr>
      <w:r>
        <w:t>月光蛊催发一次，需要动用一成的翠绿真元，换算成苍绿真元，只需要半成。深绿真元再缩减一倍，墨绿真元亦是如此。</w:t>
      </w:r>
    </w:p>
    <w:p>
      <w:r>
        <w:t>&gt;</w:t>
      </w:r>
    </w:p>
    <w:p>
      <w:pPr>
        <w:pStyle w:val="Quote"/>
      </w:pPr>
      <w:r>
        <w:t>也就是说，一成的墨绿真元，相当于两成深绿，四成苍绿，八成翠绿。</w:t>
      </w:r>
    </w:p>
    <w:p>
      <w:r>
        <w:t>The passage explicitly gives:</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r>
              <w:t>First Revolution essence</w:t>
            </w:r>
          </w:p>
        </w:tc>
        <w:tc>
          <w:tcPr>
            <w:tcW w:type="dxa" w:w="3331"/>
          </w:tcPr>
          <w:p>
            <w:r>
              <w:t>Relative equivalence stated in this passage</w:t>
            </w:r>
          </w:p>
        </w:tc>
        <w:tc>
          <w:tcPr>
            <w:tcW w:type="dxa" w:w="3331"/>
          </w:tcPr>
          <w:p>
            <w:r>
              <w:t>Moonlight activation cost on the capacity scale</w:t>
            </w:r>
          </w:p>
        </w:tc>
      </w:tr>
      <w:tr>
        <w:trPr>
          <w:cantSplit/>
        </w:trPr>
        <w:tc>
          <w:tcPr>
            <w:tcW w:type="dxa" w:w="3331"/>
          </w:tcPr>
          <w:p>
            <w:r>
              <w:t>Initial stage</w:t>
            </w:r>
          </w:p>
        </w:tc>
        <w:tc>
          <w:tcPr>
            <w:tcW w:type="dxa" w:w="3331"/>
          </w:tcPr>
          <w:p>
            <w:r>
              <w:t>1</w:t>
            </w:r>
          </w:p>
        </w:tc>
        <w:tc>
          <w:tcPr>
            <w:tcW w:type="dxa" w:w="3331"/>
          </w:tcPr>
          <w:p>
            <w:r>
              <w:t>10 points</w:t>
            </w:r>
          </w:p>
        </w:tc>
      </w:tr>
      <w:tr>
        <w:trPr>
          <w:cantSplit/>
        </w:trPr>
        <w:tc>
          <w:tcPr>
            <w:tcW w:type="dxa" w:w="3331"/>
          </w:tcPr>
          <w:p>
            <w:r>
              <w:t>Middle stage</w:t>
            </w:r>
          </w:p>
        </w:tc>
        <w:tc>
          <w:tcPr>
            <w:tcW w:type="dxa" w:w="3331"/>
          </w:tcPr>
          <w:p>
            <w:r>
              <w:t>2</w:t>
            </w:r>
          </w:p>
        </w:tc>
        <w:tc>
          <w:tcPr>
            <w:tcW w:type="dxa" w:w="3331"/>
          </w:tcPr>
          <w:p>
            <w:r>
              <w:t>5 points</w:t>
            </w:r>
          </w:p>
        </w:tc>
      </w:tr>
      <w:tr>
        <w:trPr>
          <w:cantSplit/>
        </w:trPr>
        <w:tc>
          <w:tcPr>
            <w:tcW w:type="dxa" w:w="3331"/>
          </w:tcPr>
          <w:p>
            <w:r>
              <w:t>Upper stage</w:t>
            </w:r>
          </w:p>
        </w:tc>
        <w:tc>
          <w:tcPr>
            <w:tcW w:type="dxa" w:w="3331"/>
          </w:tcPr>
          <w:p>
            <w:r>
              <w:t>4</w:t>
            </w:r>
          </w:p>
        </w:tc>
        <w:tc>
          <w:tcPr>
            <w:tcW w:type="dxa" w:w="3331"/>
          </w:tcPr>
          <w:p>
            <w:r>
              <w:t>2.5 points</w:t>
            </w:r>
          </w:p>
        </w:tc>
      </w:tr>
      <w:tr>
        <w:trPr>
          <w:cantSplit/>
        </w:trPr>
        <w:tc>
          <w:tcPr>
            <w:tcW w:type="dxa" w:w="3331"/>
          </w:tcPr>
          <w:p>
            <w:r>
              <w:t>Peak stage</w:t>
            </w:r>
          </w:p>
        </w:tc>
        <w:tc>
          <w:tcPr>
            <w:tcW w:type="dxa" w:w="3331"/>
          </w:tcPr>
          <w:p>
            <w:r>
              <w:t>8</w:t>
            </w:r>
          </w:p>
        </w:tc>
        <w:tc>
          <w:tcPr>
            <w:tcW w:type="dxa" w:w="3331"/>
          </w:tcPr>
          <w:p>
            <w:r>
              <w:t>1.25 points</w:t>
            </w:r>
          </w:p>
        </w:tc>
      </w:tr>
    </w:tbl>
    <w:p>
      <w:r>
        <w:t>The last two activation costs follow arithmetically from the successive halvings; do not present their decimal spellings as quoted Chinese numerals.</w:t>
      </w:r>
    </w:p>
    <w:p>
      <w:r>
        <w:t>The text also converts eight points of peak-stage essence into sixty-four points of initial-stage essence:</w:t>
      </w:r>
    </w:p>
    <w:p>
      <w:pPr>
        <w:pStyle w:val="Quote"/>
      </w:pPr>
      <w:r>
        <w:t>8 × 8 = 64.</w:t>
      </w:r>
    </w:p>
    <w:p>
      <w:r/>
      <w:r>
        <w:rPr>
          <w:b/>
        </w:rPr>
        <w:t>Volume 1, Chapters 115 and 122</w:t>
      </w:r>
      <w:r>
        <w:t xml:space="preserve"> provide further second-revolution examples of halved expenditure and doubled attack counts as the stage increases. These reinforce the distinction between the Liquor Worm’s processing overhead and the effective expenditure of the resulting essence.</w:t>
      </w:r>
    </w:p>
    <w:p>
      <w:r/>
      <w:r>
        <w:rPr>
          <w:b/>
        </w:rPr>
        <w:t>Correction to my previous answer and article:</w:t>
      </w:r>
      <w:r>
        <w:t xml:space="preserve"> it was too cautious to suggest that the evidence located was limited to one initial-to-middle activation equivalence. Chapter 80 establishes the four-stage First Revolution relationship explicitly. The appropriate limit is that this does not, by itself, establish every cross-revolution or immortal conversion.</w:t>
      </w:r>
    </w:p>
    <w:p>
      <w:r/>
      <w:r>
        <w:rPr>
          <w:b/>
        </w:rPr>
        <w:t>Additional precision query:</w:t>
      </w:r>
      <w:r>
        <w:t xml:space="preserve"> Chapter 80’s phrase that an initial-stage Fang Yuan would run out “halfway” is approximate if the example is treated as constant equivalent expenditure: 44/64 = 68.75%, not exactly one half. No fixed attack-by-attack expenditure schedule is supplied, so this does not authorise rewriting the scene to an exact fraction. Preserve a distinction between the exact conversion and looser narrative description.</w:t>
      </w:r>
    </w:p>
    <w:p>
      <w:pPr>
        <w:pStyle w:val="Heading1"/>
      </w:pPr>
      <w:r>
        <w:t>4. New local numerical discrepancies</w:t>
      </w:r>
    </w:p>
    <w:p>
      <w:pPr>
        <w:pStyle w:val="Heading2"/>
      </w:pPr>
      <w:r>
        <w:t>N01. A 45% reserve appears among repeated 44% readings</w:t>
      </w:r>
    </w:p>
    <w:p>
      <w:r/>
      <w:r>
        <w:rPr>
          <w:b/>
        </w:rPr>
        <w:t>Volume 1, Chapter 43, `chapter51.html`, p9:</w:t>
      </w:r>
      <w:r/>
    </w:p>
    <w:p>
      <w:pPr>
        <w:pStyle w:val="Quote"/>
      </w:pPr>
      <w:r>
        <w:t>最终，空窍中四成半的元海，再次全部精炼成中阶真元。</w:t>
      </w:r>
    </w:p>
    <w:p>
      <w:r>
        <w:t xml:space="preserve">四成半 is </w:t>
      </w:r>
      <w:r>
        <w:rPr>
          <w:b/>
        </w:rPr>
        <w:t>45%</w:t>
      </w:r>
      <w:r>
        <w:t>, not 44.5% or 44%.</w:t>
      </w:r>
    </w:p>
    <w:p>
      <w:r>
        <w:t>The surrounding scene concerns refining and replenishing his existing reserve, not an announced aptitude increase. Chapters 34 and 50 give 44%, as do later relevant passages. The whole Chapter 43 was read for this finding.</w:t>
      </w:r>
    </w:p>
    <w:p>
      <w:r/>
      <w:r>
        <w:rPr>
          <w:b/>
        </w:rPr>
        <w:t>Assessment:</w:t>
      </w:r>
      <w:r>
        <w:t xml:space="preserve"> strong local inconsistency candidate. A correction to 44% would preserve the established capacity, but remains a proposed textual emendation until approved. Do not claim that a corrected Chinese witness has already supplied it.</w:t>
      </w:r>
    </w:p>
    <w:p>
      <w:pPr>
        <w:pStyle w:val="Heading2"/>
      </w:pPr>
      <w:r>
        <w:t>N02. The post-Gu aptitude falls to 42%, then is recalled as 43%</w:t>
      </w:r>
    </w:p>
    <w:p>
      <w:r/>
      <w:r>
        <w:rPr>
          <w:b/>
        </w:rPr>
        <w:t>Volume 1, Chapter 159, `chapter167.html`, p41:</w:t>
      </w:r>
      <w:r/>
    </w:p>
    <w:p>
      <w:pPr>
        <w:pStyle w:val="Quote"/>
      </w:pPr>
      <w:r>
        <w:t>……原先是丙等四成四……降了两分……四成二……</w:t>
      </w:r>
    </w:p>
    <w:p>
      <w:r>
        <w:t xml:space="preserve">This explicitly says </w:t>
      </w:r>
      <w:r>
        <w:rPr>
          <w:b/>
        </w:rPr>
        <w:t>44 − 2 = 42</w:t>
      </w:r>
      <w:r>
        <w:t>. Chapters 162 and 167 repeat the 42% reserve.</w:t>
      </w:r>
    </w:p>
    <w:p>
      <w:r>
        <w:t xml:space="preserve">But </w:t>
      </w:r>
      <w:r>
        <w:rPr>
          <w:b/>
        </w:rPr>
        <w:t>Chapter 198, `chapter206.html`, p25</w:t>
      </w:r>
      <w:r>
        <w:t xml:space="preserve"> retrospectively says the same Gu reduced it to 43%, then gives 53% after a ten-point increase. The next increase gives 63%, and the later summary again calls the starting value 43%.</w:t>
      </w:r>
    </w:p>
    <w:p>
      <w:r>
        <w:t>The intervening rebirth returns him to the final confrontation, after the earlier aptitude-reducing event. It is not, by itself, evidence that the earlier two-point loss was changed to a one-point loss. The surrounding reviewed passages do not establish a one-point restoration before the quoted retrospective statement.</w:t>
      </w:r>
    </w:p>
    <w:p>
      <w:r/>
      <w:r>
        <w:rPr>
          <w:b/>
        </w:rPr>
        <w:t>Assessment:</w:t>
      </w:r>
      <w:r>
        <w:t xml:space="preserve"> high-confidence continuity conflict in the checked readings. The intended repair remains uncertain.</w:t>
      </w:r>
    </w:p>
    <w:p>
      <w:r>
        <w:t>Two coherent editorial routes exist:</w:t>
      </w:r>
    </w:p>
    <w:p>
      <w:pPr>
        <w:pStyle w:val="ListBullet"/>
      </w:pPr>
      <w:r>
        <w:t xml:space="preserve">Preserve the earlier 42% sequence, then change the later starting value and linked increases to </w:t>
      </w:r>
      <w:r>
        <w:rPr>
          <w:b/>
        </w:rPr>
        <w:t>42 → 52 → 62</w:t>
      </w:r>
      <w:r>
        <w:t>, retaining the eventual 90% endpoint, whose later gains are variable.</w:t>
      </w:r>
    </w:p>
    <w:p>
      <w:pPr>
        <w:pStyle w:val="ListBullet"/>
      </w:pPr>
      <w:r>
        <w:t>Preserve the later 43% sequence, then amend the earlier loss and repeated 42% references consistently.</w:t>
      </w:r>
    </w:p>
    <w:p>
      <w:r>
        <w:t>The first route has stronger explicit earlier arithmetic behind it, but it is still a conjectural harmonisation. A one-number patch is inadequate because dependent numbers must follow.</w:t>
      </w:r>
    </w:p>
    <w:p>
      <w:pPr>
        <w:pStyle w:val="Heading2"/>
      </w:pPr>
      <w:r>
        <w:t>N03. Bai Ning Bing’s recovery has an ambiguous increment</w:t>
      </w:r>
    </w:p>
    <w:p>
      <w:r/>
      <w:r>
        <w:rPr>
          <w:b/>
        </w:rPr>
        <w:t>Volume 2, Chapter 102, `chapter309.html`, p83:</w:t>
      </w:r>
      <w:r>
        <w:t xml:space="preserve"> an increase of one point brings aptitude to </w:t>
      </w:r>
      <w:r>
        <w:rPr>
          <w:b/>
        </w:rPr>
        <w:t>92%</w:t>
      </w:r>
      <w:r>
        <w:t>.</w:t>
      </w:r>
    </w:p>
    <w:p>
      <w:r/>
      <w:r>
        <w:rPr>
          <w:b/>
        </w:rPr>
        <w:t>Volume 2, Chapter 105, `chapter312.html`, pp80–81:</w:t>
      </w:r>
      <w:r>
        <w:t xml:space="preserve"> aptitude has “again recovered by two points”, reaching </w:t>
      </w:r>
      <w:r>
        <w:rPr>
          <w:b/>
        </w:rPr>
        <w:t>93%</w:t>
      </w:r>
      <w:r>
        <w:t>, with seven more points needed for 100%.</w:t>
      </w:r>
    </w:p>
    <w:p>
      <w:r>
        <w:t>If the second statement is a fresh increment from the immediately established 92%, it should yield 94%, not 93%. But a cumulative reference back to an earlier 91% stage could account for the two-point wording.</w:t>
      </w:r>
    </w:p>
    <w:p>
      <w:r/>
      <w:r>
        <w:rPr>
          <w:b/>
        </w:rPr>
        <w:t>Assessment:</w:t>
      </w:r>
      <w:r>
        <w:t xml:space="preserve"> lower-confidence wording/baseline query, not an approved 93 → 94 correction. The following “seven more” supports the stated 93 endpoint. Do not alter both endpoint and remaining amount before deciding which baseline the retrospective wording uses.</w:t>
      </w:r>
    </w:p>
    <w:p>
      <w:pPr>
        <w:pStyle w:val="Heading2"/>
      </w:pPr>
      <w:r>
        <w:t>N04. Chapter 22 remains unresolved</w:t>
      </w:r>
    </w:p>
    <w:p>
      <w:r>
        <w:t>The previously confirmed Grade C / 38% / three-attack combination remains incompatible with the stated Grade C range. The scene’s staging still makes a simple Grade C → Grade D replacement less straightforward than it appears.</w:t>
      </w:r>
    </w:p>
    <w:p>
      <w:r>
        <w:t>Neither a grade-label change nor the alternative 48%/four-attack harmonisation has been approved by this audit.</w:t>
      </w:r>
    </w:p>
    <w:p>
      <w:pPr>
        <w:pStyle w:val="Heading1"/>
      </w:pPr>
      <w:r>
        <w:t>5. Migration: the later novel gives actual mechanisms</w:t>
      </w:r>
    </w:p>
    <w:p>
      <w:pPr>
        <w:pStyle w:val="Heading2"/>
      </w:pPr>
      <w:r>
        <w:t>G01. The early migration has a long timescale, but not a measured itinerary</w:t>
      </w:r>
    </w:p>
    <w:p>
      <w:r/>
      <w:r>
        <w:rPr>
          <w:b/>
        </w:rPr>
        <w:t>Volume 1, Chapter 192, `chapter200.html`, p18</w:t>
      </w:r>
      <w:r>
        <w:t xml:space="preserve"> says Gu Yue First Generation concealed his identity and wandered for decades before establishing himself at Qing Mao Mountain in old age.</w:t>
      </w:r>
    </w:p>
    <w:p>
      <w:r/>
      <w:r>
        <w:rPr>
          <w:b/>
        </w:rPr>
        <w:t>Volume 1, Chapter 199, `chapter207.html`, pp81–88</w:t>
      </w:r>
      <w:r>
        <w:t xml:space="preserve"> depicts Fang Zheng aboard a giant crane and Lord Sky Crane declaring his return to Central Continent.</w:t>
      </w:r>
    </w:p>
    <w:p>
      <w:r>
        <w:t>These establish migration and a means of transport. They do not specify the complete distance or cruising speed of the particular journey. Do not retrofit a later teleportation method onto this early trip without source evidence.</w:t>
      </w:r>
    </w:p>
    <w:p>
      <w:pPr>
        <w:pStyle w:val="Heading2"/>
      </w:pPr>
      <w:r>
        <w:t>G02. Mortals cross barriers more easily than stronger cultivators</w:t>
      </w:r>
    </w:p>
    <w:p>
      <w:r/>
      <w:r>
        <w:rPr>
          <w:b/>
        </w:rPr>
        <w:t>Volume 4, Chapter 61, `chapter725.html`, pp74–75:</w:t>
      </w:r>
      <w:r/>
    </w:p>
    <w:p>
      <w:pPr>
        <w:pStyle w:val="Quote"/>
      </w:pPr>
      <w:r>
        <w:t>“……我年轻的时候，也穿过界壁，到过北原。整个过程，只要了一盏茶的功夫，轻松得很。”</w:t>
      </w:r>
    </w:p>
    <w:p>
      <w:r>
        <w:t>&gt;</w:t>
      </w:r>
    </w:p>
    <w:p>
      <w:pPr>
        <w:pStyle w:val="Quote"/>
      </w:pPr>
      <w:r>
        <w:t>他穿透界壁时，还只是四转蛊师。修为越高，穿透界壁就越加困难。</w:t>
      </w:r>
    </w:p>
    <w:p>
      <w:r>
        <w:t>Hong Chi Ming recalls crossing into Northern Plains in the time it takes to drink a cup of tea when he was a Fourth Revolution Gu Master. The narration then states that crossing becomes harder as cultivation increases.</w:t>
      </w:r>
    </w:p>
    <w:p>
      <w:r>
        <w:t>The same chapter shows an immortal expedition struggling through the barrier and needing rest afterwards. It is incorrect to use immortal difficulty as proof that earlier mortal migration was impossible.</w:t>
      </w:r>
    </w:p>
    <w:p>
      <w:r/>
      <w:r>
        <w:rPr>
          <w:b/>
        </w:rPr>
        <w:t>Limit:</w:t>
      </w:r>
      <w:r>
        <w:t xml:space="preserve"> the cup-of-tea duration concerns barrier passage, not travel across the entire region. Do not turn it into a continental travel time.</w:t>
      </w:r>
    </w:p>
    <w:p>
      <w:pPr>
        <w:pStyle w:val="Heading2"/>
      </w:pPr>
      <w:r>
        <w:t>G03. The beast distinction matters to the crane journey</w:t>
      </w:r>
    </w:p>
    <w:p>
      <w:r/>
      <w:r>
        <w:rPr>
          <w:b/>
        </w:rPr>
        <w:t>Volume 5, Chapter 24, `chapter1063.html`, pp1–4</w:t>
      </w:r>
      <w:r>
        <w:t xml:space="preserve"> distinguishes desolate beasts, ancient desolate beasts, and immemorial desolate beasts from ordinary beasts, beast kings, and mutated beasts. The latter can enter and leave regional barriers more freely.</w:t>
      </w:r>
    </w:p>
    <w:p>
      <w:r>
        <w:t>Lord Sky Crane’s earlier mount is identified as a myriad-beast king. This later rule removes a specific objection to a beast-king mount crossing regional boundaries. It does not establish its exact route or speed.</w:t>
      </w:r>
    </w:p>
    <w:p>
      <w:pPr>
        <w:pStyle w:val="Heading2"/>
      </w:pPr>
      <w:r>
        <w:t>G04. A later journey explicitly contrasts years of flight with teleportation</w:t>
      </w:r>
    </w:p>
    <w:p>
      <w:r/>
      <w:r>
        <w:rPr>
          <w:b/>
        </w:rPr>
        <w:t>Volume 4, Chapter 307, `chapter973.html`, pp53–64:</w:t>
      </w:r>
      <w:r/>
    </w:p>
    <w:p>
      <w:pPr>
        <w:pStyle w:val="Quote"/>
      </w:pPr>
      <w:r>
        <w:t>白晴仙子若是单凭自身手段，飞过去至少要数年光阴。</w:t>
      </w:r>
    </w:p>
    <w:p>
      <w:r>
        <w:t>&gt;</w:t>
      </w:r>
    </w:p>
    <w:p>
      <w:pPr>
        <w:pStyle w:val="Quote"/>
      </w:pPr>
      <w:r>
        <w:t>……单一次传送就跨越数十万里的距离……</w:t>
      </w:r>
    </w:p>
    <w:p>
      <w:r>
        <w:t>&gt;</w:t>
      </w:r>
    </w:p>
    <w:p>
      <w:pPr>
        <w:pStyle w:val="Quote"/>
      </w:pPr>
      <w:r>
        <w:t>一天一夜之后……距离落天河源头，只有千里之遥。</w:t>
      </w:r>
    </w:p>
    <w:p>
      <w:r>
        <w:t>The narrative says Fairy Bai Qing would need at least several years to fly to the Falling Heavenly River’s source using her own methods. Instead, she uses multiple sects’ teleportation formations, each capable of covering hundreds of thousands of li. After a day and a night she is within a thousand li of the destination.</w:t>
      </w:r>
    </w:p>
    <w:p>
      <w:r>
        <w:t>This is a much stronger source-based travel explanation than simply saying that Gu users can fly. The text itself acknowledges enormous ordinary travel times and supplies a shortcut.</w:t>
      </w:r>
    </w:p>
    <w:p>
      <w:pPr>
        <w:pStyle w:val="Heading2"/>
      </w:pPr>
      <w:r>
        <w:t>G05. The different shortcuts are not interchangeable</w:t>
      </w:r>
    </w:p>
    <w:p>
      <w:pPr>
        <w:pStyle w:val="ListBullet"/>
      </w:pPr>
      <w:r/>
      <w:r>
        <w:rPr>
          <w:b/>
        </w:rPr>
        <w:t>Earth Hole Gu:</w:t>
      </w:r>
      <w:r>
        <w:t xml:space="preserve"> Volume 3, Chapter 54, </w:t>
      </w:r>
      <w:r>
        <w:rPr>
          <w:rFonts w:ascii="Consolas" w:hAnsi="Consolas"/>
          <w:sz w:val="18"/>
        </w:rPr>
        <w:t>chapter470.html</w:t>
      </w:r>
      <w:r>
        <w:t>, explicitly limits the discussed connection to one region. It cannot simply be assigned to every interregional trip.</w:t>
      </w:r>
    </w:p>
    <w:p>
      <w:pPr>
        <w:pStyle w:val="ListBullet"/>
      </w:pPr>
      <w:r/>
      <w:r>
        <w:rPr>
          <w:b/>
        </w:rPr>
        <w:t>Star Gate:</w:t>
      </w:r>
      <w:r>
        <w:t xml:space="preserve"> Volume 3, Chapter 57, </w:t>
      </w:r>
      <w:r>
        <w:rPr>
          <w:rFonts w:ascii="Consolas" w:hAnsi="Consolas"/>
          <w:sz w:val="18"/>
        </w:rPr>
        <w:t>chapter473.html</w:t>
      </w:r>
      <w:r>
        <w:t>, explicitly praises its cross-regional transport using black heaven. Later passages impose operating and user limitations.</w:t>
      </w:r>
    </w:p>
    <w:p>
      <w:pPr>
        <w:pStyle w:val="ListBullet"/>
      </w:pPr>
      <w:r/>
      <w:r>
        <w:rPr>
          <w:b/>
        </w:rPr>
        <w:t>Fixed Immortal Travel:</w:t>
      </w:r>
      <w:r>
        <w:t xml:space="preserve"> repeatedly supplies direct long-distance relocation, with conditions such as destination knowledge, activation time, and revolution-related limitations. It is not a generally available solution for all characters.</w:t>
      </w:r>
    </w:p>
    <w:p>
      <w:pPr>
        <w:pStyle w:val="ListBullet"/>
      </w:pPr>
      <w:r/>
      <w:r>
        <w:rPr>
          <w:b/>
        </w:rPr>
        <w:t>White/black heaven routes:</w:t>
      </w:r>
      <w:r>
        <w:t xml:space="preserve"> Volume 5, Chapter 24, </w:t>
      </w:r>
      <w:r>
        <w:rPr>
          <w:rFonts w:ascii="Consolas" w:hAnsi="Consolas"/>
          <w:sz w:val="18"/>
        </w:rPr>
        <w:t>chapter1063.html</w:t>
      </w:r>
      <w:r>
        <w:t>, explicitly explains Heavenly Court’s rapid arrival in Southern Border through white heaven. Other passages describe the use of heavenly routes by powerful immortals.</w:t>
      </w:r>
    </w:p>
    <w:p>
      <w:pPr>
        <w:pStyle w:val="ListBullet"/>
      </w:pPr>
      <w:r/>
      <w:r>
        <w:rPr>
          <w:b/>
        </w:rPr>
        <w:t>Later institutional networks:</w:t>
      </w:r>
      <w:r>
        <w:t xml:space="preserve"> formations, beacon towers, and particular Immortal Gu Houses have distinct capabilities. Their existence at one time does not prove that Gu Yue First Generation used them centuries earlier.</w:t>
      </w:r>
    </w:p>
    <w:p>
      <w:pPr>
        <w:pStyle w:val="Heading2"/>
      </w:pPr>
      <w:r>
        <w:t>G06. Travel rules change with the era</w:t>
      </w:r>
    </w:p>
    <w:p>
      <w:r>
        <w:t xml:space="preserve">By </w:t>
      </w:r>
      <w:r>
        <w:rPr>
          <w:b/>
        </w:rPr>
        <w:t>Volume 6, Chapter 2, `chapter1990.html`</w:t>
      </w:r>
      <w:r>
        <w:t>, the regional barriers have disappeared and the text discusses resulting qi tides. Earlier barrier restrictions cannot be applied unchanged to late-novel journeys.</w:t>
      </w:r>
    </w:p>
    <w:p>
      <w:r>
        <w:t>A proper route audit must therefore record not only traveller, origin, destination, distance, and duration, but also chronology, body, cultivation, transport method, and whether barriers still exist.</w:t>
      </w:r>
    </w:p>
    <w:p>
      <w:pPr>
        <w:pStyle w:val="Heading1"/>
      </w:pPr>
      <w:r>
        <w:t>6. Geography remains less settled than the travel mechanisms</w:t>
      </w:r>
    </w:p>
    <w:p>
      <w:pPr>
        <w:pStyle w:val="Heading2"/>
      </w:pPr>
      <w:r>
        <w:t>G07. The huge extent is still in the source</w:t>
      </w:r>
    </w:p>
    <w:p>
      <w:r/>
      <w:r>
        <w:rPr>
          <w:b/>
        </w:rPr>
        <w:t>Volume 2, Chapter 135, `chapter342.html`:</w:t>
      </w:r>
      <w:r>
        <w:t xml:space="preserve"> 绵延亿里 is present. Under the declared 0.5 km/li convention, the literal magnitude is fifty million kilometres. The sentence does not specify a circular diameter.</w:t>
      </w:r>
    </w:p>
    <w:p>
      <w:r>
        <w:t xml:space="preserve">The same passage places Immortal Crane Sect in southern Central Continent. </w:t>
      </w:r>
      <w:r>
        <w:rPr>
          <w:b/>
        </w:rPr>
        <w:t>Volume 6, Chapter 253, `chapter2249.html`</w:t>
      </w:r>
      <w:r>
        <w:t xml:space="preserve"> explicitly describes a northern Southern Border clan near the boundary with Central Continent. An interregional crossing does not inherently traverse the full width of either region.</w:t>
      </w:r>
    </w:p>
    <w:p>
      <w:pPr>
        <w:pStyle w:val="Heading2"/>
      </w:pPr>
      <w:r>
        <w:t>G08. A new and important scale tension: the Yellow Dragon River</w:t>
      </w:r>
    </w:p>
    <w:p>
      <w:r/>
      <w:r>
        <w:rPr>
          <w:b/>
        </w:rPr>
        <w:t>Volume 2, Chapter 1, `chapter208.html`, pp1–2:</w:t>
      </w:r>
      <w:r/>
    </w:p>
    <w:p>
      <w:pPr>
        <w:pStyle w:val="Quote"/>
      </w:pPr>
      <w:r>
        <w:t>黄龙江，南疆第三江，全长八千多公里……</w:t>
      </w:r>
    </w:p>
    <w:p>
      <w:r>
        <w:t>&gt;</w:t>
      </w:r>
    </w:p>
    <w:p>
      <w:pPr>
        <w:pStyle w:val="Quote"/>
      </w:pPr>
      <w:r>
        <w:t>……贯穿了南疆一半有余的面积。</w:t>
      </w:r>
    </w:p>
    <w:p>
      <w:r>
        <w:t xml:space="preserve">The source gives a total length of </w:t>
      </w:r>
      <w:r>
        <w:rPr>
          <w:b/>
        </w:rPr>
        <w:t>over 8,000 kilometres</w:t>
      </w:r>
      <w:r>
        <w:t>, then describes it as running through more than half of Southern Border’s area. This deserves comparison with the earlier description of Southern Border as vaster than seven or eight Earths.</w:t>
      </w:r>
    </w:p>
    <w:p>
      <w:r>
        <w:t>This is a genuine scale-review lead. However, river length, drainage area, and the loose phrase “runs through” are not interchangeable. The text supplies neither a surveyed regional shape nor an exact basin area. We cannot derive a unique replacement river length from these sentences.</w:t>
      </w:r>
    </w:p>
    <w:p>
      <w:r>
        <w:t>The same chapter gives a useful local journey: the raft travels more than a thousand li per day and has been travelling five days as it approaches White Bone Mountain. Those figures deserve preservation in a future route table, not automatic multiplication to match a resized world.</w:t>
      </w:r>
    </w:p>
    <w:p>
      <w:pPr>
        <w:pStyle w:val="Heading2"/>
      </w:pPr>
      <w:r>
        <w:t>G09. The source itself distinguishes regional size from local distance</w:t>
      </w:r>
    </w:p>
    <w:p>
      <w:r/>
      <w:r>
        <w:rPr>
          <w:b/>
        </w:rPr>
        <w:t>Volume 4, Chapter 88, `chapter754.html`, p65</w:t>
      </w:r>
      <w:r>
        <w:t xml:space="preserve"> states Northern Plains’ enormous area, then immediately explains that Fang Yuan’s starting point is not far from his destination; he sees the mountain after flying most of a day.</w:t>
      </w:r>
    </w:p>
    <w:p>
      <w:r>
        <w:t>This is an explicit warning against using total regional area to infer the length of every trip inside it.</w:t>
      </w:r>
    </w:p>
    <w:p>
      <w:r/>
      <w:r>
        <w:rPr>
          <w:b/>
        </w:rPr>
        <w:t>Conclusion on scale:</w:t>
      </w:r>
      <w:r>
        <w:t xml:space="preserve"> no defensible universal 1,000-fold reduction has emerged from this pass. That does not certify the geography as consistent. It means that the existing evidence supports mechanisms and local relationships more strongly than it supports one complete numerical map.</w:t>
      </w:r>
    </w:p>
    <w:p>
      <w:pPr>
        <w:pStyle w:val="Heading1"/>
      </w:pPr>
      <w:r>
        <w:t>7. Decisions supported now, and decisions still held</w:t>
      </w:r>
    </w:p>
    <w:tbl>
      <w:tblPr>
        <w:tblStyle w:val="LightShading-Accent1"/>
        <w:tblW w:type="auto" w:w="0"/>
        <w:tblLook w:firstColumn="1" w:firstRow="1" w:lastColumn="0" w:lastRow="0" w:noHBand="0" w:noVBand="1" w:val="04A0"/>
      </w:tblPr>
      <w:tblGrid>
        <w:gridCol w:w="3331"/>
        <w:gridCol w:w="3331"/>
        <w:gridCol w:w="3331"/>
      </w:tblGrid>
      <w:tr>
        <w:trPr>
          <w:cantSplit/>
        </w:trPr>
        <w:tc>
          <w:tcPr>
            <w:tcW w:type="dxa" w:w="3331"/>
          </w:tcPr>
          <w:p>
            <w:r>
              <w:t>Item</w:t>
            </w:r>
          </w:p>
        </w:tc>
        <w:tc>
          <w:tcPr>
            <w:tcW w:type="dxa" w:w="3331"/>
          </w:tcPr>
          <w:p>
            <w:r>
              <w:t>Result of this pass</w:t>
            </w:r>
          </w:p>
        </w:tc>
        <w:tc>
          <w:tcPr>
            <w:tcW w:type="dxa" w:w="3331"/>
          </w:tcPr>
          <w:p>
            <w:r>
              <w:t>Publication action</w:t>
            </w:r>
          </w:p>
        </w:tc>
      </w:tr>
      <w:tr>
        <w:trPr>
          <w:cantSplit/>
        </w:trPr>
        <w:tc>
          <w:tcPr>
            <w:tcW w:type="dxa" w:w="3331"/>
          </w:tcPr>
          <w:p>
            <w:r>
              <w:t>Grade terminology</w:t>
            </w:r>
          </w:p>
        </w:tc>
        <w:tc>
          <w:tcPr>
            <w:tcW w:type="dxa" w:w="3331"/>
          </w:tcPr>
          <w:p>
            <w:r>
              <w:t>Grade A/B/C/D</w:t>
            </w:r>
          </w:p>
        </w:tc>
        <w:tc>
          <w:tcPr>
            <w:tcW w:type="dxa" w:w="3331"/>
          </w:tcPr>
          <w:p>
            <w:r>
              <w:t>Apply to editorial prose and future approved glossary work.</w:t>
            </w:r>
          </w:p>
        </w:tc>
      </w:tr>
      <w:tr>
        <w:trPr>
          <w:cantSplit/>
        </w:trPr>
        <w:tc>
          <w:tcPr>
            <w:tcW w:type="dxa" w:w="3331"/>
          </w:tcPr>
          <w:p>
            <w:r>
              <w:t>Capacity versus personal reserve</w:t>
            </w:r>
          </w:p>
        </w:tc>
        <w:tc>
          <w:tcPr>
            <w:tcW w:type="dxa" w:w="3331"/>
          </w:tcPr>
          <w:p>
            <w:r>
              <w:t>Both denominators occur</w:t>
            </w:r>
          </w:p>
        </w:tc>
        <w:tc>
          <w:tcPr>
            <w:tcW w:type="dxa" w:w="3331"/>
          </w:tcPr>
          <w:p>
            <w:r>
              <w:t>Preserve the local reference point.</w:t>
            </w:r>
          </w:p>
        </w:tc>
      </w:tr>
      <w:tr>
        <w:trPr>
          <w:cantSplit/>
        </w:trPr>
        <w:tc>
          <w:tcPr>
            <w:tcW w:type="dxa" w:w="3331"/>
          </w:tcPr>
          <w:p>
            <w:r>
              <w:t>Geometric conversion of every percentage</w:t>
            </w:r>
          </w:p>
        </w:tc>
        <w:tc>
          <w:tcPr>
            <w:tcW w:type="dxa" w:w="3331"/>
          </w:tcPr>
          <w:p>
            <w:r>
              <w:t>Rejected</w:t>
            </w:r>
          </w:p>
        </w:tc>
        <w:tc>
          <w:tcPr>
            <w:tcW w:type="dxa" w:w="3331"/>
          </w:tcPr>
          <w:p>
            <w:r>
              <w:t>Do not recalculate the novel’s aptitude table.</w:t>
            </w:r>
          </w:p>
        </w:tc>
      </w:tr>
      <w:tr>
        <w:trPr>
          <w:cantSplit/>
        </w:trPr>
        <w:tc>
          <w:tcPr>
            <w:tcW w:type="dxa" w:w="3331"/>
          </w:tcPr>
          <w:p>
            <w:r>
              <w:t>Exact height/capacity conflations</w:t>
            </w:r>
          </w:p>
        </w:tc>
        <w:tc>
          <w:tcPr>
            <w:tcW w:type="dxa" w:w="3331"/>
          </w:tcPr>
          <w:p>
            <w:r>
              <w:t>Real wording problem</w:t>
            </w:r>
          </w:p>
        </w:tc>
        <w:tc>
          <w:tcPr>
            <w:tcW w:type="dxa" w:w="3331"/>
          </w:tcPr>
          <w:p>
            <w:r>
              <w:t>Offer documented local harmonisations.</w:t>
            </w:r>
          </w:p>
        </w:tc>
      </w:tr>
      <w:tr>
        <w:trPr>
          <w:cantSplit/>
        </w:trPr>
        <w:tc>
          <w:tcPr>
            <w:tcW w:type="dxa" w:w="3331"/>
          </w:tcPr>
          <w:p>
            <w:r>
              <w:t>First Revolution stage equivalence</w:t>
            </w:r>
          </w:p>
        </w:tc>
        <w:tc>
          <w:tcPr>
            <w:tcW w:type="dxa" w:w="3331"/>
          </w:tcPr>
          <w:p>
            <w:r>
              <w:t>Explicit 1:2:4:8 relationship found</w:t>
            </w:r>
          </w:p>
        </w:tc>
        <w:tc>
          <w:tcPr>
            <w:tcW w:type="dxa" w:w="3331"/>
          </w:tcPr>
          <w:p>
            <w:r>
              <w:t>Correct the article’s earlier limited account.</w:t>
            </w:r>
          </w:p>
        </w:tc>
      </w:tr>
      <w:tr>
        <w:trPr>
          <w:cantSplit/>
        </w:trPr>
        <w:tc>
          <w:tcPr>
            <w:tcW w:type="dxa" w:w="3331"/>
          </w:tcPr>
          <w:p>
            <w:r>
              <w:t>Chapter 43 45%</w:t>
            </w:r>
          </w:p>
        </w:tc>
        <w:tc>
          <w:tcPr>
            <w:tcW w:type="dxa" w:w="3331"/>
          </w:tcPr>
          <w:p>
            <w:r>
              <w:t>Strong inconsistency candidate</w:t>
            </w:r>
          </w:p>
        </w:tc>
        <w:tc>
          <w:tcPr>
            <w:tcW w:type="dxa" w:w="3331"/>
          </w:tcPr>
          <w:p>
            <w:r>
              <w:t>Propose 44%; await approval/witness work.</w:t>
            </w:r>
          </w:p>
        </w:tc>
      </w:tr>
      <w:tr>
        <w:trPr>
          <w:cantSplit/>
        </w:trPr>
        <w:tc>
          <w:tcPr>
            <w:tcW w:type="dxa" w:w="3331"/>
          </w:tcPr>
          <w:p>
            <w:r>
              <w:t>Chapter 159 onward 42% versus Chapter 198 43%</w:t>
            </w:r>
          </w:p>
        </w:tc>
        <w:tc>
          <w:tcPr>
            <w:tcW w:type="dxa" w:w="3331"/>
          </w:tcPr>
          <w:p>
            <w:r>
              <w:t>Confirmed conflict in checked readings</w:t>
            </w:r>
          </w:p>
        </w:tc>
        <w:tc>
          <w:tcPr>
            <w:tcW w:type="dxa" w:w="3331"/>
          </w:tcPr>
          <w:p>
            <w:r>
              <w:t>Resolve the linked sequence, not one token.</w:t>
            </w:r>
          </w:p>
        </w:tc>
      </w:tr>
      <w:tr>
        <w:trPr>
          <w:cantSplit/>
        </w:trPr>
        <w:tc>
          <w:tcPr>
            <w:tcW w:type="dxa" w:w="3331"/>
          </w:tcPr>
          <w:p>
            <w:r>
              <w:t>Bai Ning Bing 92%/two-point/93% wording</w:t>
            </w:r>
          </w:p>
        </w:tc>
        <w:tc>
          <w:tcPr>
            <w:tcW w:type="dxa" w:w="3331"/>
          </w:tcPr>
          <w:p>
            <w:r>
              <w:t>Ambiguous baseline</w:t>
            </w:r>
          </w:p>
        </w:tc>
        <w:tc>
          <w:tcPr>
            <w:tcW w:type="dxa" w:w="3331"/>
          </w:tcPr>
          <w:p>
            <w:r>
              <w:t>Hold automatic change.</w:t>
            </w:r>
          </w:p>
        </w:tc>
      </w:tr>
      <w:tr>
        <w:trPr>
          <w:cantSplit/>
        </w:trPr>
        <w:tc>
          <w:tcPr>
            <w:tcW w:type="dxa" w:w="3331"/>
          </w:tcPr>
          <w:p>
            <w:r>
              <w:t>Chapter 22 Grade C/38%</w:t>
            </w:r>
          </w:p>
        </w:tc>
        <w:tc>
          <w:tcPr>
            <w:tcW w:type="dxa" w:w="3331"/>
          </w:tcPr>
          <w:p>
            <w:r>
              <w:t>Still inconsistent</w:t>
            </w:r>
          </w:p>
        </w:tc>
        <w:tc>
          <w:tcPr>
            <w:tcW w:type="dxa" w:w="3331"/>
          </w:tcPr>
          <w:p>
            <w:r>
              <w:t>Exact emendation remains pending.</w:t>
            </w:r>
          </w:p>
        </w:tc>
      </w:tr>
      <w:tr>
        <w:trPr>
          <w:cantSplit/>
        </w:trPr>
        <w:tc>
          <w:tcPr>
            <w:tcW w:type="dxa" w:w="3331"/>
          </w:tcPr>
          <w:p>
            <w:r>
              <w:t>Early interregional migration</w:t>
            </w:r>
          </w:p>
        </w:tc>
        <w:tc>
          <w:tcPr>
            <w:tcW w:type="dxa" w:w="3331"/>
          </w:tcPr>
          <w:p>
            <w:r>
              <w:t>Mechanically supported</w:t>
            </w:r>
          </w:p>
        </w:tc>
        <w:tc>
          <w:tcPr>
            <w:tcW w:type="dxa" w:w="3331"/>
          </w:tcPr>
          <w:p>
            <w:r>
              <w:t>Do not invent its complete itinerary.</w:t>
            </w:r>
          </w:p>
        </w:tc>
      </w:tr>
      <w:tr>
        <w:trPr>
          <w:cantSplit/>
        </w:trPr>
        <w:tc>
          <w:tcPr>
            <w:tcW w:type="dxa" w:w="3331"/>
          </w:tcPr>
          <w:p>
            <w:r>
              <w:t>Vast-distance travel</w:t>
            </w:r>
          </w:p>
        </w:tc>
        <w:tc>
          <w:tcPr>
            <w:tcW w:type="dxa" w:w="3331"/>
          </w:tcPr>
          <w:p>
            <w:r>
              <w:t>Explicit shortcuts and long baseline times</w:t>
            </w:r>
          </w:p>
        </w:tc>
        <w:tc>
          <w:tcPr>
            <w:tcW w:type="dxa" w:w="3331"/>
          </w:tcPr>
          <w:p>
            <w:r>
              <w:t>Evaluate route by route and era by era.</w:t>
            </w:r>
          </w:p>
        </w:tc>
      </w:tr>
      <w:tr>
        <w:trPr>
          <w:cantSplit/>
        </w:trPr>
        <w:tc>
          <w:tcPr>
            <w:tcW w:type="dxa" w:w="3331"/>
          </w:tcPr>
          <w:p>
            <w:r>
              <w:t>Global geographical shrinkage</w:t>
            </w:r>
          </w:p>
        </w:tc>
        <w:tc>
          <w:tcPr>
            <w:tcW w:type="dxa" w:w="3331"/>
          </w:tcPr>
          <w:p>
            <w:r>
              <w:t>Not justified by this evidence</w:t>
            </w:r>
          </w:p>
        </w:tc>
        <w:tc>
          <w:tcPr>
            <w:tcW w:type="dxa" w:w="3331"/>
          </w:tcPr>
          <w:p>
            <w:r>
              <w:t>Hold as an adaptation proposal, not a translation correction.</w:t>
            </w:r>
          </w:p>
        </w:tc>
      </w:tr>
    </w:tbl>
    <w:p>
      <w:pPr>
        <w:pStyle w:val="Heading1"/>
      </w:pPr>
      <w:r>
        <w:t>8. What remains unfinished</w:t>
      </w:r>
    </w:p>
    <w:p>
      <w:r>
        <w:t>A full line-by-line reading of all 2,334 chapters has not been completed. Nor has a full numerical route graph or an exhaustive, approved emendation ledger been completed.</w:t>
      </w:r>
    </w:p>
    <w:p>
      <w:r>
        <w:t>The next rigorous layer is to resolve the high-confidence local discrepancies against additional witnesses, trace dependent numbers, and build route records for the journeys that seem incompatible with their stated times. That work should use the attached whole-corpus inventory as an index, not treat the inventory itself as proof of every claim.</w:t>
      </w:r>
    </w:p>
    <w:p>
      <w:r/>
      <w:r>
        <w:rPr>
          <w:b/>
        </w:rPr>
        <w:t>Practical conclusion:</w:t>
      </w:r>
      <w:r>
        <w:t xml:space="preserve"> retain the established numerical system where the novel demonstrates it, repair individually verified inconsistencies, and do not install a new global model merely because it is mathematically neat. The expanded source evidence makes that recommendation firmer, while also exposing real local problems that the opening-only discussion missed.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WHOLE-NOVEL SOURCE AUDIT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Aperture and Travel Source Audit</dc:title>
  <dc:subject>Full-corpus topical screening with selective contextual verification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