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Sequential source review: Chapters 21–50</w:t>
      </w:r>
    </w:p>
    <w:p>
      <w:pPr>
        <w:pStyle w:val="Heading1"/>
      </w:pPr>
      <w:r>
        <w:t>Batch 003 | Larger reading batch, unchanged publication hold</w:t>
      </w:r>
    </w:p>
    <w:p>
      <w:r/>
      <w:r>
        <w:rPr>
          <w:b/>
        </w:rPr>
        <w:t>The Omniarch | 13 October 2026</w:t>
      </w:r>
      <w:r/>
    </w:p>
    <w:p>
      <w:pPr>
        <w:pStyle w:val="Heading1"/>
      </w:pPr>
      <w:r>
        <w:t>Completed scope</w:t>
      </w:r>
    </w:p>
    <w:p>
      <w:r/>
      <w:r>
        <w:rPr>
          <w:b/>
        </w:rPr>
        <w:t>All 30 chapters have been read in order, in fifteen untruncated two-chapter segments.</w:t>
      </w:r>
      <w:r>
        <w:t xml:space="preserve"> This includes every nonempty source paragraph, not merely search results or summaries.</w:t>
      </w:r>
    </w:p>
    <w:p>
      <w:pPr>
        <w:pStyle w:val="ListBullet"/>
      </w:pPr>
      <w:r>
        <w:t xml:space="preserve">This batch: </w:t>
      </w:r>
      <w:r>
        <w:rPr>
          <w:b/>
        </w:rPr>
        <w:t>2,140 paragraphs; 83,815 characters</w:t>
      </w:r>
      <w:r>
        <w:t>.</w:t>
      </w:r>
    </w:p>
    <w:p>
      <w:pPr>
        <w:pStyle w:val="ListBullet"/>
      </w:pPr>
      <w:r>
        <w:t xml:space="preserve">Cumulative: </w:t>
      </w:r>
      <w:r>
        <w:rPr>
          <w:b/>
        </w:rPr>
        <w:t>Chapters 1–50; 3,605 paragraphs; 138,379 characters</w:t>
      </w:r>
      <w:r>
        <w:t>.</w:t>
      </w:r>
    </w:p>
    <w:p>
      <w:pPr>
        <w:pStyle w:val="ListBullet"/>
      </w:pPr>
      <w:r>
        <w:t xml:space="preserve">Source files for this batch: </w:t>
      </w:r>
      <w:r>
        <w:rPr>
          <w:rFonts w:ascii="Consolas" w:hAnsi="Consolas"/>
          <w:sz w:val="18"/>
        </w:rPr>
        <w:t>OEBPS/Text/chapter29.html</w:t>
      </w:r>
      <w:r>
        <w:t xml:space="preserve"> through </w:t>
      </w:r>
      <w:r>
        <w:rPr>
          <w:rFonts w:ascii="Consolas" w:hAnsi="Consolas"/>
          <w:sz w:val="18"/>
        </w:rPr>
        <w:t>chapter58.html</w:t>
      </w:r>
      <w:r>
        <w:t>.</w:t>
      </w:r>
    </w:p>
    <w:p>
      <w:pPr>
        <w:pStyle w:val="ListBullet"/>
      </w:pPr>
      <w:r>
        <w:t xml:space="preserve">Next unread chapter: </w:t>
      </w:r>
      <w:r>
        <w:rPr>
          <w:b/>
        </w:rPr>
        <w:t>51</w:t>
      </w:r>
      <w:r>
        <w:t xml:space="preserve">. Remaining chapters: </w:t>
      </w:r>
      <w:r>
        <w:rPr>
          <w:b/>
        </w:rPr>
        <w:t>2,284</w:t>
      </w:r>
      <w:r>
        <w:t>.</w:t>
      </w:r>
    </w:p>
    <w:p>
      <w:r>
        <w:t>The review concerns the supplied Chinese source. No fresh live-English comparison is claimed. Full reading coverage does not mean every possible orthographic irregularity has been catalogued or every statement certified correct.</w:t>
      </w:r>
    </w:p>
    <w:p>
      <w:r/>
      <w:r>
        <w:rPr>
          <w:b/>
        </w:rPr>
        <w:t>All emendations remain on hold for the complete 2,334-chapter reading and global reconciliation.</w:t>
      </w:r>
      <w:r>
        <w:t xml:space="preserve"> Earlier candidates may change as evidence accumulates. Nothing has been applied to the source or translation.</w:t>
      </w:r>
    </w:p>
    <w:p>
      <w:pPr>
        <w:pStyle w:val="Heading1"/>
      </w:pPr>
      <w:r>
        <w:t>1. A working proposal has already changed direction</w:t>
      </w:r>
    </w:p>
    <w:p>
      <w:r>
        <w:t xml:space="preserve">The preceding batch found </w:t>
      </w:r>
      <w:r>
        <w:rPr>
          <w:b/>
        </w:rPr>
        <w:t>twelve stones spent</w:t>
      </w:r>
      <w:r>
        <w:t xml:space="preserve"> in Ch18 p84 versus </w:t>
      </w:r>
      <w:r>
        <w:rPr>
          <w:b/>
        </w:rPr>
        <w:t>six</w:t>
      </w:r>
      <w:r>
        <w:t xml:space="preserve"> recalled in Ch20 p29. It provisionally considered increasing the later figure if twelve survived further checking.</w:t>
      </w:r>
    </w:p>
    <w:p>
      <w:r/>
      <w:r>
        <w:rPr>
          <w:b/>
        </w:rPr>
        <w:t>Ch23 p49 now supplies a further account:</w:t>
      </w:r>
      <w:r/>
    </w:p>
    <w:p>
      <w:pPr>
        <w:pStyle w:val="Quote"/>
      </w:pPr>
      <w:r>
        <w:t>但是炼蛊前期耗费了六块半，喂养蛊虫耗费了十四块半，生活费半块，如今应该剩下二十块。</w:t>
      </w:r>
    </w:p>
    <w:p>
      <w:r>
        <w:t xml:space="preserve">The early refinement expenditure is given as </w:t>
      </w:r>
      <w:r>
        <w:rPr>
          <w:b/>
        </w:rPr>
        <w:t>six and a half stones</w:t>
      </w:r>
      <w:r>
        <w:t>, much closer to the six-stone Liquor Worm account than the twelve-stone subperiod.</w:t>
      </w:r>
    </w:p>
    <w:p>
      <w:r/>
      <w:r>
        <w:rPr>
          <w:b/>
        </w:rPr>
        <w:t>Updated direction, SR-012:</w:t>
      </w:r>
      <w:r>
        <w:t xml:space="preserve"> investigate changing Ch18's twelve to six, rather than increasing Ch20's six. This is still a working candidate, not a settled correction. The extra half-stone may concern other refinement expenditure, but it has not been independently itemised. Ch23's own account also needs reconciliation with a current advance payment, so its numbers are evidence, not unquestionable authority.</w:t>
      </w:r>
    </w:p>
    <w:p>
      <w:r>
        <w:t>This is precisely why the user’s decision to defer implementation was sound.</w:t>
      </w:r>
    </w:p>
    <w:p>
      <w:pPr>
        <w:pStyle w:val="Heading1"/>
      </w:pPr>
      <w:r>
        <w:t>2. New temporal problem: the image wall's nearly hundred-day trigger</w:t>
      </w:r>
    </w:p>
    <w:p>
      <w:r/>
      <w:r>
        <w:rPr>
          <w:b/>
        </w:rPr>
        <w:t>Ch46 p32:</w:t>
      </w:r>
      <w:r/>
    </w:p>
    <w:p>
      <w:pPr>
        <w:pStyle w:val="Quote"/>
      </w:pPr>
      <w:r>
        <w:t>能让我这影壁不断回放近百天，足以证明你对古月一族没有好感。</w:t>
      </w:r>
    </w:p>
    <w:p>
      <w:r>
        <w:t xml:space="preserve">The message describes the wall replaying for </w:t>
      </w:r>
      <w:r>
        <w:rPr>
          <w:b/>
        </w:rPr>
        <w:t>nearly one hundred days</w:t>
      </w:r>
      <w:r>
        <w:t>. The intervening narrative provides a much shorter chain from Fang Yuan's discovery of it:</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Link</w:t>
            </w:r>
          </w:p>
        </w:tc>
        <w:tc>
          <w:tcPr>
            <w:tcW w:type="dxa" w:w="3331"/>
          </w:tcPr>
          <w:p>
            <w:r>
              <w:t>Source</w:t>
            </w:r>
          </w:p>
        </w:tc>
        <w:tc>
          <w:tcPr>
            <w:tcW w:type="dxa" w:w="3331"/>
          </w:tcPr>
          <w:p>
            <w:r>
              <w:t>Approximate elapsed increment</w:t>
            </w:r>
          </w:p>
        </w:tc>
      </w:tr>
      <w:tr>
        <w:tc>
          <w:tcPr>
            <w:tcW w:type="dxa" w:w="3331"/>
          </w:tcPr>
          <w:p>
            <w:r>
              <w:t>Discovery, return that night, first dawn, then two further days to successful refinement</w:t>
            </w:r>
          </w:p>
        </w:tc>
        <w:tc>
          <w:tcPr>
            <w:tcW w:type="dxa" w:w="3331"/>
          </w:tcPr>
          <w:p>
            <w:r>
              <w:t>Ch16–20</w:t>
            </w:r>
          </w:p>
        </w:tc>
        <w:tc>
          <w:tcPr>
            <w:tcW w:type="dxa" w:w="3331"/>
          </w:tcPr>
          <w:p>
            <w:r>
              <w:t>About 3 days</w:t>
            </w:r>
          </w:p>
        </w:tc>
      </w:tr>
      <w:tr>
        <w:tc>
          <w:tcPr>
            <w:tcW w:type="dxa" w:w="3331"/>
          </w:tcPr>
          <w:p>
            <w:r>
              <w:t>Successful refinement to the Moonlight lesson</w:t>
            </w:r>
          </w:p>
        </w:tc>
        <w:tc>
          <w:tcPr>
            <w:tcW w:type="dxa" w:w="3331"/>
          </w:tcPr>
          <w:p>
            <w:r>
              <w:t>Ch23 p48</w:t>
            </w:r>
          </w:p>
        </w:tc>
        <w:tc>
          <w:tcPr>
            <w:tcW w:type="dxa" w:w="3331"/>
          </w:tcPr>
          <w:p>
            <w:r>
              <w:t>16 days</w:t>
            </w:r>
          </w:p>
        </w:tc>
      </w:tr>
      <w:tr>
        <w:tc>
          <w:tcPr>
            <w:tcW w:type="dxa" w:w="3331"/>
          </w:tcPr>
          <w:p>
            <w:r>
              <w:t>Lesson to assessment and first extortion</w:t>
            </w:r>
          </w:p>
        </w:tc>
        <w:tc>
          <w:tcPr>
            <w:tcW w:type="dxa" w:w="3331"/>
          </w:tcPr>
          <w:p>
            <w:r>
              <w:t>Ch24 p1; Ch26–28</w:t>
            </w:r>
          </w:p>
        </w:tc>
        <w:tc>
          <w:tcPr>
            <w:tcW w:type="dxa" w:w="3331"/>
          </w:tcPr>
          <w:p>
            <w:r>
              <w:t>3 days</w:t>
            </w:r>
          </w:p>
        </w:tc>
      </w:tr>
      <w:tr>
        <w:tc>
          <w:tcPr>
            <w:tcW w:type="dxa" w:w="3331"/>
          </w:tcPr>
          <w:p>
            <w:r>
              <w:t>First to second extortion</w:t>
            </w:r>
          </w:p>
        </w:tc>
        <w:tc>
          <w:tcPr>
            <w:tcW w:type="dxa" w:w="3331"/>
          </w:tcPr>
          <w:p>
            <w:r>
              <w:t>Ch30 pp20, 36; Ch31 p29</w:t>
            </w:r>
          </w:p>
        </w:tc>
        <w:tc>
          <w:tcPr>
            <w:tcW w:type="dxa" w:w="3331"/>
          </w:tcPr>
          <w:p>
            <w:r>
              <w:t>7 days</w:t>
            </w:r>
          </w:p>
        </w:tc>
      </w:tr>
      <w:tr>
        <w:tc>
          <w:tcPr>
            <w:tcW w:type="dxa" w:w="3331"/>
          </w:tcPr>
          <w:p>
            <w:r>
              <w:t>Second extortion to Gao Wan's death</w:t>
            </w:r>
          </w:p>
        </w:tc>
        <w:tc>
          <w:tcPr>
            <w:tcW w:type="dxa" w:w="3331"/>
          </w:tcPr>
          <w:p>
            <w:r>
              <w:t>Ch31–36</w:t>
            </w:r>
          </w:p>
        </w:tc>
        <w:tc>
          <w:tcPr>
            <w:tcW w:type="dxa" w:w="3331"/>
          </w:tcPr>
          <w:p>
            <w:r>
              <w:t>Overnight</w:t>
            </w:r>
          </w:p>
        </w:tc>
      </w:tr>
      <w:tr>
        <w:tc>
          <w:tcPr>
            <w:tcW w:type="dxa" w:w="3331"/>
          </w:tcPr>
          <w:p>
            <w:r>
              <w:t>Death to caravan arrival</w:t>
            </w:r>
          </w:p>
        </w:tc>
        <w:tc>
          <w:tcPr>
            <w:tcW w:type="dxa" w:w="3331"/>
          </w:tcPr>
          <w:p>
            <w:r>
              <w:t>Ch39 p58</w:t>
            </w:r>
          </w:p>
        </w:tc>
        <w:tc>
          <w:tcPr>
            <w:tcW w:type="dxa" w:w="3331"/>
          </w:tcPr>
          <w:p>
            <w:r>
              <w:t>About half a month</w:t>
            </w:r>
          </w:p>
        </w:tc>
      </w:tr>
      <w:tr>
        <w:tc>
          <w:tcPr>
            <w:tcW w:type="dxa" w:w="3331"/>
          </w:tcPr>
          <w:p>
            <w:r>
              <w:t>Arrival to second-night cave visit</w:t>
            </w:r>
          </w:p>
        </w:tc>
        <w:tc>
          <w:tcPr>
            <w:tcW w:type="dxa" w:w="3331"/>
          </w:tcPr>
          <w:p>
            <w:r>
              <w:t>Ch44 p1, p45; Ch45–46</w:t>
            </w:r>
          </w:p>
        </w:tc>
        <w:tc>
          <w:tcPr>
            <w:tcW w:type="dxa" w:w="3331"/>
          </w:tcPr>
          <w:p>
            <w:r>
              <w:t>About 1 day</w:t>
            </w:r>
          </w:p>
        </w:tc>
      </w:tr>
    </w:tbl>
    <w:p>
      <w:r/>
      <w:r>
        <w:rPr>
          <w:b/>
        </w:rPr>
        <w:t>Natural reconstruction: roughly 46 days, not nearly 100.</w:t>
      </w:r>
      <w:r>
        <w:t xml:space="preserve"> The count is approximate because some intervals are broad and day boundaries are not fully specified. That uncertainty is not large enough by itself to erase the gap.</w:t>
      </w:r>
    </w:p>
    <w:p>
      <w:pPr>
        <w:pStyle w:val="Heading2"/>
      </w:pPr>
      <w:r>
        <w:t>Important qualification</w:t>
      </w:r>
    </w:p>
    <w:p>
      <w:r>
        <w:t>Ch16 p9 only *infers* that disturbing the vines awakened the recording Gu. We do not possess a definitive activation timestamp. A previous activation is conceivable, but no such event is supplied in the passages read. Nor is an accelerated recording clock established.</w:t>
      </w:r>
    </w:p>
    <w:p>
      <w:r/>
      <w:r>
        <w:rPr>
          <w:b/>
        </w:rPr>
        <w:t>SR-017, held:</w:t>
      </w:r>
      <w:r>
        <w:t xml:space="preserve"> investigate the trigger duration and its later explanations. If it is eventually corrected locally, wording such as </w:t>
      </w:r>
      <w:r>
        <w:rPr>
          <w:b/>
        </w:rPr>
        <w:t>“more than a month”</w:t>
      </w:r>
      <w:r>
        <w:t xml:space="preserve"> is a candidate, not a recovered authorial reading. Do not change the number to an exact forty-six days, invent a hidden visitor, or insert an unexplained fifty-day gap.</w:t>
      </w:r>
    </w:p>
    <w:p>
      <w:r>
        <w:t>Changing Chapter 8's month to a week would not resolve this issue: this chain begins later, at the discovery itself.</w:t>
      </w:r>
    </w:p>
    <w:p>
      <w:pPr>
        <w:pStyle w:val="Heading1"/>
      </w:pPr>
      <w:r>
        <w:t>3. New temporal problem: the caravan's last night</w:t>
      </w:r>
    </w:p>
    <w:p>
      <w:r>
        <w:t>The evidence is unusually specific:</w:t>
      </w:r>
    </w:p>
    <w:p>
      <w:pPr>
        <w:pStyle w:val="ListBullet"/>
      </w:pPr>
      <w:r/>
      <w:r>
        <w:rPr>
          <w:b/>
        </w:rPr>
        <w:t>Ch39 p44:</w:t>
      </w:r>
      <w:r>
        <w:t xml:space="preserve"> arrival in the region that morning, settlement by noon, market that evening.</w:t>
      </w:r>
    </w:p>
    <w:p>
      <w:pPr>
        <w:pStyle w:val="ListBullet"/>
      </w:pPr>
      <w:r/>
      <w:r>
        <w:rPr>
          <w:b/>
        </w:rPr>
        <w:t>Ch44 p1:</w:t>
      </w:r>
      <w:r>
        <w:t xml:space="preserve"> the following midday.</w:t>
      </w:r>
    </w:p>
    <w:p>
      <w:pPr>
        <w:pStyle w:val="ListBullet"/>
      </w:pPr>
      <w:r/>
      <w:r>
        <w:rPr>
          <w:b/>
        </w:rPr>
        <w:t>Ch44 p45:</w:t>
      </w:r>
      <w:r>
        <w:t xml:space="preserve"> this is the </w:t>
      </w:r>
      <w:r>
        <w:rPr>
          <w:b/>
        </w:rPr>
        <w:t>second evening</w:t>
      </w:r>
      <w:r>
        <w:t xml:space="preserve">; departure is </w:t>
      </w:r>
      <w:r>
        <w:rPr>
          <w:b/>
        </w:rPr>
        <w:t>the morning after tomorrow</w:t>
      </w:r>
      <w:r>
        <w:t>.</w:t>
      </w:r>
    </w:p>
    <w:p>
      <w:pPr>
        <w:pStyle w:val="ListBullet"/>
      </w:pPr>
      <w:r/>
      <w:r>
        <w:rPr>
          <w:b/>
        </w:rPr>
        <w:t>Ch45–46:</w:t>
      </w:r>
      <w:r>
        <w:t xml:space="preserve"> the dispute, negotiation, cave visit, and murder follow that same evening.</w:t>
      </w:r>
    </w:p>
    <w:p>
      <w:pPr>
        <w:pStyle w:val="ListBullet"/>
      </w:pPr>
      <w:r/>
      <w:r>
        <w:rPr>
          <w:b/>
        </w:rPr>
        <w:t>Ch47 p13:</w:t>
      </w:r>
      <w:r>
        <w:t xml:space="preserve"> the caravan leaves after a </w:t>
      </w:r>
      <w:r>
        <w:rPr>
          <w:b/>
        </w:rPr>
        <w:t>three-day stay</w:t>
      </w:r>
      <w:r>
        <w:t>.</w:t>
      </w:r>
    </w:p>
    <w:p>
      <w:pPr>
        <w:pStyle w:val="ListBullet"/>
      </w:pPr>
      <w:r/>
      <w:r>
        <w:rPr>
          <w:b/>
        </w:rPr>
        <w:t>Ch47 pp63, 73, 86:</w:t>
      </w:r>
      <w:r>
        <w:t xml:space="preserve"> the murder, dispute, and night of cleanup are described as </w:t>
      </w:r>
      <w:r>
        <w:rPr>
          <w:b/>
        </w:rPr>
        <w:t>last night</w:t>
      </w:r>
      <w:r>
        <w:t>.</w:t>
      </w:r>
    </w:p>
    <w:p>
      <w:r>
        <w:t xml:space="preserve">Keeping the announced departure and three-night sequence places the murder on the </w:t>
      </w:r>
      <w:r>
        <w:rPr>
          <w:b/>
        </w:rPr>
        <w:t>night before last</w:t>
      </w:r>
      <w:r>
        <w:t>, not the immediately preceding night.</w:t>
      </w:r>
    </w:p>
    <w:p>
      <w:r/>
      <w:r>
        <w:rPr>
          <w:b/>
        </w:rPr>
        <w:t>SR-018, held candidate:</w:t>
      </w:r>
      <w:r>
        <w:t xml:space="preserve"> change all three Chapter 47 retrospective labels together. Use </w:t>
      </w:r>
      <w:r>
        <w:rPr>
          <w:b/>
        </w:rPr>
        <w:t>“the night before last”</w:t>
      </w:r>
      <w:r>
        <w:t xml:space="preserve"> for the murder, dispute, and cleanup. Do not repair just one occurrence. Check the coming investigation's witnesses and time statements before adoption.</w:t>
      </w:r>
    </w:p>
    <w:p>
      <w:r>
        <w:t>The alternative would require revising the stay/departure sequence. At present, the retrospective-label repair is narrower, but neither path is globally verified.</w:t>
      </w:r>
    </w:p>
    <w:p>
      <w:pPr>
        <w:pStyle w:val="Heading1"/>
      </w:pPr>
      <w:r>
        <w:t>4. Accounting query: the subtotal, advance, and balance in Chapter 23</w:t>
      </w:r>
    </w:p>
    <w:p>
      <w:r>
        <w:t xml:space="preserve">Ch23 pp49–52 gives a previous total of </w:t>
      </w:r>
      <w:r>
        <w:rPr>
          <w:b/>
        </w:rPr>
        <w:t>44.5</w:t>
      </w:r>
      <w:r>
        <w:t xml:space="preserve">, subtracts </w:t>
      </w:r>
      <w:r>
        <w:rPr>
          <w:b/>
        </w:rPr>
        <w:t>6.5</w:t>
      </w:r>
      <w:r>
        <w:t xml:space="preserve">, </w:t>
      </w:r>
      <w:r>
        <w:rPr>
          <w:b/>
        </w:rPr>
        <w:t>14.5</w:t>
      </w:r>
      <w:r>
        <w:t xml:space="preserve">, and </w:t>
      </w:r>
      <w:r>
        <w:rPr>
          <w:b/>
        </w:rPr>
        <w:t>0.5</w:t>
      </w:r>
      <w:r>
        <w:t xml:space="preserve">, and concludes that </w:t>
      </w:r>
      <w:r>
        <w:rPr>
          <w:b/>
        </w:rPr>
        <w:t>20</w:t>
      </w:r>
      <w:r>
        <w:t xml:space="preserve"> remain. Fang Yuan then counts twenty physical full-sized stones.</w:t>
      </w:r>
    </w:p>
    <w:p>
      <w:r>
        <w:t>The stated subtraction is:</w:t>
      </w:r>
    </w:p>
    <w:p>
      <w:r/>
      <w:r>
        <w:rPr>
          <w:b/>
        </w:rPr>
        <w:t>44.5 − 6.5 − 14.5 − 0.5 = 23, not 20.</w:t>
      </w:r>
      <w:r/>
    </w:p>
    <w:p>
      <w:r/>
      <w:r>
        <w:rPr>
          <w:b/>
        </w:rPr>
        <w:t>But there is an important already-narrated payment:</w:t>
      </w:r>
      <w:r>
        <w:t xml:space="preserve"> Ch23 p42 has him hand the innkeeper </w:t>
      </w:r>
      <w:r>
        <w:rPr>
          <w:b/>
        </w:rPr>
        <w:t>three stones</w:t>
      </w:r>
      <w:r>
        <w:t xml:space="preserve"> for wine, food, and account credit. If that advance is separate from the itemised historical expenditure, </w:t>
      </w:r>
      <w:r>
        <w:rPr>
          <w:b/>
        </w:rPr>
        <w:t>23 − 3 = 20</w:t>
      </w:r>
      <w:r>
        <w:t xml:space="preserve"> exactly. It must not be invented as a missing event, because it is already in the text; nor may it be deducted twice if the reported cost categories already include it.</w:t>
      </w:r>
    </w:p>
    <w:p>
      <w:r>
        <w:t>This qualifies the initial appearance of a simple subtraction error: the question is partly what the retrospective costs include. Simply replacing twenty with twenty-three also breaks a later coherent sequence:</w:t>
      </w:r>
    </w:p>
    <w:p>
      <w:pPr>
        <w:pStyle w:val="ListBullet"/>
      </w:pPr>
      <w:r/>
      <w:r>
        <w:rPr>
          <w:b/>
        </w:rPr>
        <w:t>Ch28 pp71–72:</w:t>
      </w:r>
      <w:r>
        <w:t xml:space="preserve"> 20 − 10 for stored wine + 3 stipend + 10 prize + 56 collected = </w:t>
      </w:r>
      <w:r>
        <w:rPr>
          <w:b/>
        </w:rPr>
        <w:t>79</w:t>
      </w:r>
      <w:r>
        <w:t>.</w:t>
      </w:r>
    </w:p>
    <w:p>
      <w:pPr>
        <w:pStyle w:val="ListBullet"/>
      </w:pPr>
      <w:r/>
      <w:r>
        <w:rPr>
          <w:b/>
        </w:rPr>
        <w:t>Ch29 pp2–4:</w:t>
      </w:r>
      <w:r>
        <w:t xml:space="preserve"> 79 − 40 for twenty more jars = </w:t>
      </w:r>
      <w:r>
        <w:rPr>
          <w:b/>
        </w:rPr>
        <w:t>39</w:t>
      </w:r>
      <w:r>
        <w:t>.</w:t>
      </w:r>
    </w:p>
    <w:p>
      <w:r/>
      <w:r>
        <w:rPr>
          <w:b/>
        </w:rPr>
        <w:t>SR-019, held:</w:t>
      </w:r>
      <w:r>
        <w:t xml:space="preserve"> preserve twenty as the current working downstream balance. The preferred explanatory candidate is to make the already-paid three-stone advance explicit in the reconciliation, provided it is not included in the other expenditure categories. Investigate the upstream receipts and claimed 44.5 peak separately. Do not change 44.5 to 41.5 merely because that makes one equation work.</w:t>
      </w:r>
    </w:p>
    <w:p>
      <w:r>
        <w:t>The resource jotter separates actual payments, reported balances, forecasts, supplies already purchased, and money received by other characters. It does not certify a fully reconstructed opening account yet.</w:t>
      </w:r>
    </w:p>
    <w:p>
      <w:pPr>
        <w:pStyle w:val="Heading2"/>
      </w:pPr>
      <w:r>
        <w:t>Two related findings</w:t>
      </w:r>
    </w:p>
    <w:p>
      <w:r/>
      <w:r>
        <w:rPr>
          <w:b/>
        </w:rPr>
        <w:t>Ch39 p58: two collections total 118.</w:t>
      </w:r>
      <w:r>
        <w:t xml:space="preserve"> Fifty-six classmates paying one stone twice yields 112. Adding Fang Yuan's two three-stone stipends yields exactly 118. </w:t>
      </w:r>
      <w:r>
        <w:rPr>
          <w:b/>
        </w:rPr>
        <w:t>SR-020:</w:t>
      </w:r>
      <w:r>
        <w:t xml:space="preserve"> the preferred explanatory candidate is to identify this as the combined collections and stipends, not change the class size or invent six more victims.</w:t>
      </w:r>
    </w:p>
    <w:p>
      <w:r/>
      <w:r>
        <w:rPr>
          <w:b/>
        </w:rPr>
        <w:t>Feeding costs:</w:t>
      </w:r>
      <w:r>
        <w:t xml:space="preserve"> four petals at 0.1 stone each plus one-quarter of a two-stone wine jar gives </w:t>
      </w:r>
      <w:r>
        <w:rPr>
          <w:b/>
        </w:rPr>
        <w:t>0.9 stone/day</w:t>
      </w:r>
      <w:r>
        <w:t>. Sixteen days yields 14.4 in consumption value, versus the reported 14.5. Do not yet classify the 0.1 difference as an independent error: stock purchases, partial consumption, and rounding may differ.</w:t>
      </w:r>
    </w:p>
    <w:p>
      <w:pPr>
        <w:pStyle w:val="Heading1"/>
      </w:pPr>
      <w:r>
        <w:t>5. Capacity findings confirmed in continuous reading</w:t>
      </w:r>
    </w:p>
    <w:p>
      <w:pPr>
        <w:pStyle w:val="Heading2"/>
      </w:pPr>
      <w:r>
        <w:t>SR-021: Grade C, 38%, and three blades</w:t>
      </w:r>
    </w:p>
    <w:p>
      <w:r>
        <w:t>Ch22 p78 combines Grade C with 38% capacity and three consecutive ten-point moonblades. The local arithmetic works, but the grade conflicts with the established Grade C range.</w:t>
      </w:r>
    </w:p>
    <w:p>
      <w:r>
        <w:t>Changing the speaker to Grade D is not a self-contained solution: Ch22 pp39–40 places the Grade D pupils among those who did not choose Moonlight Gu. Conversely, increasing capacity into Grade C affects the claimed maximum of three blades.</w:t>
      </w:r>
    </w:p>
    <w:p>
      <w:r/>
      <w:r>
        <w:rPr>
          <w:b/>
        </w:rPr>
        <w:t>Action:</w:t>
      </w:r>
      <w:r>
        <w:t xml:space="preserve"> retain a linked grade/capacity/staging query. No one-word repair is approved.</w:t>
      </w:r>
    </w:p>
    <w:p>
      <w:pPr>
        <w:pStyle w:val="Heading2"/>
      </w:pPr>
      <w:r>
        <w:t>SR-022: the isolated 45% reading</w:t>
      </w:r>
    </w:p>
    <w:p>
      <w:r>
        <w:t xml:space="preserve">Ch43 p9 gives </w:t>
      </w:r>
      <w:r>
        <w:rPr>
          <w:b/>
        </w:rPr>
        <w:t>四成半</w:t>
      </w:r>
      <w:r>
        <w:t xml:space="preserve">, 45%. The surrounding source repeatedly returns to </w:t>
      </w:r>
      <w:r>
        <w:rPr>
          <w:b/>
        </w:rPr>
        <w:t>44%</w:t>
      </w:r>
      <w:r>
        <w:t>, including Ch29 p12, Ch33 p48, Ch34 p7, and Ch50 p65.</w:t>
      </w:r>
    </w:p>
    <w:p>
      <w:r/>
      <w:r>
        <w:rPr>
          <w:b/>
        </w:rPr>
        <w:t>Held preferred candidate:</w:t>
      </w:r>
      <w:r>
        <w:t xml:space="preserve"> four and a half tenths → forty-four percent. There is no intervening aptitude increase narrated in this batch. This strengthens the earlier topical finding without authorising a global numerical conversion.</w:t>
      </w:r>
    </w:p>
    <w:p>
      <w:pPr>
        <w:pStyle w:val="Heading2"/>
      </w:pPr>
      <w:r>
        <w:t>Keep the Liquor Worm's conversion arithmetic</w:t>
      </w:r>
    </w:p>
    <w:p>
      <w:r>
        <w:t>Ch29 and Ch34 distinguish:</w:t>
      </w:r>
    </w:p>
    <w:p>
      <w:pPr>
        <w:pStyle w:val="ListBullet"/>
      </w:pPr>
      <w:r>
        <w:t>10 capacity points spent activating the Gu;</w:t>
      </w:r>
    </w:p>
    <w:p>
      <w:pPr>
        <w:pStyle w:val="ListBullet"/>
      </w:pPr>
      <w:r>
        <w:t>10 initial-stage points processed into 5 middle-stage points;</w:t>
      </w:r>
    </w:p>
    <w:p>
      <w:pPr>
        <w:pStyle w:val="ListBullet"/>
      </w:pPr>
      <w:r>
        <w:t>total input 20, output 5;</w:t>
      </w:r>
    </w:p>
    <w:p>
      <w:pPr>
        <w:pStyle w:val="ListBullet"/>
      </w:pPr>
      <w:r>
        <w:t>therefore 44 middle-stage points require 176 initial-stage points of cumulative input, approximately eighteen tenths.</w:t>
      </w:r>
    </w:p>
    <w:p>
      <w:r>
        <w:t>This is throughput over time, not a claim that 176% is stored in the aperture simultaneously. Ordinary revolution-to-revolution potency, stage potency, and this process's total expenditure must remain separate.</w:t>
      </w:r>
    </w:p>
    <w:p>
      <w:pPr>
        <w:pStyle w:val="Heading1"/>
      </w:pPr>
      <w:r>
        <w:t>6. A small action-continuity problem</w:t>
      </w:r>
    </w:p>
    <w:p>
      <w:r/>
      <w:r>
        <w:rPr>
          <w:b/>
        </w:rPr>
        <w:t>Ch27 p34</w:t>
      </w:r>
      <w:r>
        <w:t xml:space="preserve"> explicitly describes a two-finger strike against Mo Bei. </w:t>
      </w:r>
      <w:r>
        <w:rPr>
          <w:b/>
        </w:rPr>
        <w:t>Ch29 p48</w:t>
      </w:r>
      <w:r>
        <w:t xml:space="preserve"> later denies finger jabs during the robberies; </w:t>
      </w:r>
      <w:r>
        <w:rPr>
          <w:b/>
        </w:rPr>
        <w:t>Ch34 p63</w:t>
      </w:r>
      <w:r>
        <w:t xml:space="preserve"> says Fang Yuan used only palms.</w:t>
      </w:r>
    </w:p>
    <w:p>
      <w:r/>
      <w:r>
        <w:rPr>
          <w:b/>
        </w:rPr>
        <w:t>SR-023, held preferred direction:</w:t>
      </w:r>
      <w:r>
        <w:t xml:space="preserve"> preserve the explicitly staged action and qualify the later summaries. A possible summary is </w:t>
      </w:r>
      <w:r>
        <w:rPr>
          <w:b/>
        </w:rPr>
        <w:t>“He had relied mainly on palm strikes, aiming to subdue rather than kill.”</w:t>
      </w:r>
      <w:r>
        <w:t xml:space="preserve"> The exact later sentences should be fitted individually, not replaced wholesale with a new combat description.</w:t>
      </w:r>
    </w:p>
    <w:p>
      <w:r>
        <w:t>This is separate from deciding whether the fictional anatomy and combat claims are medically realistic. The review does not endorse them as real-world training advice.</w:t>
      </w:r>
    </w:p>
    <w:p>
      <w:pPr>
        <w:pStyle w:val="Heading1"/>
      </w:pPr>
      <w:r>
        <w:t>7. Important passages to leave alone</w:t>
      </w:r>
    </w:p>
    <w:p>
      <w:pPr>
        <w:pStyle w:val="ListBullet"/>
      </w:pPr>
      <w:r/>
      <w:r>
        <w:rPr>
          <w:b/>
        </w:rPr>
        <w:t>Three-year absence of Grade A students:</w:t>
      </w:r>
      <w:r>
        <w:t xml:space="preserve"> Ch25 agrees with Ch1 p50 and Ch6 p71. There is no basis for changing years to generations.</w:t>
      </w:r>
    </w:p>
    <w:p>
      <w:pPr>
        <w:pStyle w:val="ListBullet"/>
      </w:pPr>
      <w:r/>
      <w:r>
        <w:rPr>
          <w:b/>
        </w:rPr>
        <w:t>Academy elder versus martial instructor:</w:t>
      </w:r>
      <w:r>
        <w:t xml:space="preserve"> the former is Revolution Three; the latter Revolution Two. They are different people.</w:t>
      </w:r>
    </w:p>
    <w:p>
      <w:pPr>
        <w:pStyle w:val="ListBullet"/>
      </w:pPr>
      <w:r/>
      <w:r>
        <w:rPr>
          <w:b/>
        </w:rPr>
        <w:t>Ten-metre effective moonblade range versus fifteen/sixteen metres before disappearance:</w:t>
      </w:r>
      <w:r>
        <w:t xml:space="preserve"> effective damaging range and total flight distance need not be identical.</w:t>
      </w:r>
    </w:p>
    <w:p>
      <w:pPr>
        <w:pStyle w:val="ListBullet"/>
      </w:pPr>
      <w:r/>
      <w:r>
        <w:rPr>
          <w:b/>
        </w:rPr>
        <w:t>April versus May caravan arrival:</w:t>
      </w:r>
      <w:r>
        <w:t xml:space="preserve"> Ch39 explicitly says the caravan is late and provides the travel disruptions. Preserve the delay.</w:t>
      </w:r>
    </w:p>
    <w:p>
      <w:pPr>
        <w:pStyle w:val="ListBullet"/>
      </w:pPr>
      <w:r/>
      <w:r>
        <w:rPr>
          <w:b/>
        </w:rPr>
        <w:t>Plans versus results:</w:t>
      </w:r>
      <w:r>
        <w:t xml:space="preserve"> the uncompleted two-thousand-stone image-wall sale is not income. Nor is the twenty-stone sparring prize that Fang Yuan walks away from.</w:t>
      </w:r>
    </w:p>
    <w:p>
      <w:pPr>
        <w:pStyle w:val="ListBullet"/>
      </w:pPr>
      <w:r/>
      <w:r>
        <w:rPr>
          <w:b/>
        </w:rPr>
        <w:t>Personal experience versus physical strength:</w:t>
      </w:r>
      <w:r>
        <w:t xml:space="preserve"> the limits exposed in the Gao Wan fight and thirty-three-match contest are deliberate, not inconsistent with five hundred years of experience.</w:t>
      </w:r>
    </w:p>
    <w:p>
      <w:pPr>
        <w:pStyle w:val="ListBullet"/>
      </w:pPr>
      <w:r/>
      <w:r>
        <w:rPr>
          <w:b/>
        </w:rPr>
        <w:t>Ren Zu's rejuvenation:</w:t>
      </w:r>
      <w:r>
        <w:t xml:space="preserve"> distinguish lifespan and restored physical youth from calendar age. Do not insert his mythic time into the current-life calendar.</w:t>
      </w:r>
    </w:p>
    <w:p>
      <w:pPr>
        <w:pStyle w:val="ListBullet"/>
      </w:pPr>
      <w:r/>
      <w:r>
        <w:rPr>
          <w:b/>
        </w:rPr>
        <w:t>Predictions:</w:t>
      </w:r>
      <w:r>
        <w:t xml:space="preserve"> next year's wolf tide, a three-month class-office window, and Fang Zheng's forecast of a breakthrough in three or four days remain forecasts until events confirm them.</w:t>
      </w:r>
    </w:p>
    <w:p>
      <w:pPr>
        <w:pStyle w:val="ListBullet"/>
      </w:pPr>
      <w:r/>
      <w:r>
        <w:rPr>
          <w:b/>
        </w:rPr>
        <w:t>Previous-life Jia succession:</w:t>
      </w:r>
      <w:r>
        <w:t xml:space="preserve"> the six-to-seven-year struggle is remembered history, not time elapsed during the present caravan visit.</w:t>
      </w:r>
    </w:p>
    <w:p>
      <w:r>
        <w:t>A suspected opening Revolution Five/Revolution Six conflict was not supported by the first twenty chapters when checked again. It has not been promoted into the proposal ledger.</w:t>
      </w:r>
    </w:p>
    <w:p>
      <w:pPr>
        <w:pStyle w:val="Heading1"/>
      </w:pPr>
      <w:r>
        <w:t>8. Small source-copy candidates</w:t>
      </w:r>
    </w:p>
    <w:p>
      <w:r>
        <w:t>These do not establish defects in the live English. Keep already-correct English unchanged.</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ID</w:t>
            </w:r>
          </w:p>
        </w:tc>
        <w:tc>
          <w:tcPr>
            <w:tcW w:type="dxa" w:w="3331"/>
          </w:tcPr>
          <w:p>
            <w:r>
              <w:t>Source location</w:t>
            </w:r>
          </w:p>
        </w:tc>
        <w:tc>
          <w:tcPr>
            <w:tcW w:type="dxa" w:w="3331"/>
          </w:tcPr>
          <w:p>
            <w:r>
              <w:t>Working contextual correction</w:t>
            </w:r>
          </w:p>
        </w:tc>
      </w:tr>
      <w:tr>
        <w:tc>
          <w:tcPr>
            <w:tcW w:type="dxa" w:w="3331"/>
          </w:tcPr>
          <w:p>
            <w:r>
              <w:t>SR-024</w:t>
            </w:r>
          </w:p>
        </w:tc>
        <w:tc>
          <w:tcPr>
            <w:tcW w:type="dxa" w:w="3331"/>
          </w:tcPr>
          <w:p>
            <w:r>
              <w:t>Ch26 p9; Ch31 p37; Ch48 p18</w:t>
            </w:r>
          </w:p>
        </w:tc>
        <w:tc>
          <w:tcPr>
            <w:tcW w:type="dxa" w:w="3331"/>
          </w:tcPr>
          <w:p>
            <w:r>
              <w:t>Resolve Mo Bei/Mo Chen name substitutions according to the person actually acting: pupil in Ch26 and Ch48, grandfather in Ch31.</w:t>
            </w:r>
          </w:p>
        </w:tc>
      </w:tr>
      <w:tr>
        <w:tc>
          <w:tcPr>
            <w:tcW w:type="dxa" w:w="3331"/>
          </w:tcPr>
          <w:p>
            <w:r>
              <w:t>SR-025</w:t>
            </w:r>
          </w:p>
        </w:tc>
        <w:tc>
          <w:tcPr>
            <w:tcW w:type="dxa" w:w="3331"/>
          </w:tcPr>
          <w:p>
            <w:r>
              <w:t>Ch45 p62</w:t>
            </w:r>
          </w:p>
        </w:tc>
        <w:tc>
          <w:tcPr>
            <w:tcW w:type="dxa" w:w="3331"/>
          </w:tcPr>
          <w:p>
            <w:r>
              <w:t>Jia Fu → Jia Jin Sheng as Fang Yuan's present interlocutor.</w:t>
            </w:r>
          </w:p>
        </w:tc>
      </w:tr>
      <w:tr>
        <w:tc>
          <w:tcPr>
            <w:tcW w:type="dxa" w:w="3331"/>
          </w:tcPr>
          <w:p>
            <w:r>
              <w:t>SR-026</w:t>
            </w:r>
          </w:p>
        </w:tc>
        <w:tc>
          <w:tcPr>
            <w:tcW w:type="dxa" w:w="3331"/>
          </w:tcPr>
          <w:p>
            <w:r>
              <w:t>Ch50 p32</w:t>
            </w:r>
          </w:p>
        </w:tc>
        <w:tc>
          <w:tcPr>
            <w:tcW w:type="dxa" w:w="3331"/>
          </w:tcPr>
          <w:p>
            <w:r>
              <w:t>Chi Lian → Chi Cheng as the grandson thanking his grandfather.</w:t>
            </w:r>
          </w:p>
        </w:tc>
      </w:tr>
      <w:tr>
        <w:tc>
          <w:tcPr>
            <w:tcW w:type="dxa" w:w="3331"/>
          </w:tcPr>
          <w:p>
            <w:r>
              <w:t>SR-027</w:t>
            </w:r>
          </w:p>
        </w:tc>
        <w:tc>
          <w:tcPr>
            <w:tcW w:type="dxa" w:w="3331"/>
          </w:tcPr>
          <w:p>
            <w:r>
              <w:t>Ch33 p12</w:t>
            </w:r>
          </w:p>
        </w:tc>
        <w:tc>
          <w:tcPr>
            <w:tcW w:type="dxa" w:w="3331"/>
          </w:tcPr>
          <w:p>
            <w:r>
              <w:t>First 你 → 我 in “I have a bed to sleep in; what about you?”</w:t>
            </w:r>
          </w:p>
        </w:tc>
      </w:tr>
      <w:tr>
        <w:tc>
          <w:tcPr>
            <w:tcW w:type="dxa" w:w="3331"/>
          </w:tcPr>
          <w:p>
            <w:r>
              <w:t>SR-028</w:t>
            </w:r>
          </w:p>
        </w:tc>
        <w:tc>
          <w:tcPr>
            <w:tcW w:type="dxa" w:w="3331"/>
          </w:tcPr>
          <w:p>
            <w:r>
              <w:t>Ch24 p42</w:t>
            </w:r>
          </w:p>
        </w:tc>
        <w:tc>
          <w:tcPr>
            <w:tcW w:type="dxa" w:w="3331"/>
          </w:tcPr>
          <w:p>
            <w:r>
              <w:t>Restore the apparent missing 不 in the claim that inexperienced users cannot deliver effective attacks.</w:t>
            </w:r>
          </w:p>
        </w:tc>
      </w:tr>
    </w:tbl>
    <w:p>
      <w:r>
        <w:t>The academy's threatened expulsion versus the later first-offence fine remains a separate open rule/credibility question. Do not assume that Fang Yuan's intimidating speech, other pupils' understanding, and the later stated penalty must all describe precisely the same rule application.</w:t>
      </w:r>
    </w:p>
    <w:p>
      <w:pPr>
        <w:pStyle w:val="Heading1"/>
      </w:pPr>
      <w:r>
        <w:t>9. The jotters and next endpoint</w:t>
      </w:r>
    </w:p>
    <w:p>
      <w:r>
        <w:t>The cumulative workbook now includes chronology and resource entries with exact source paragraphs, plus the held proposal ledger. Separate batch jotters cover:</w:t>
      </w:r>
    </w:p>
    <w:p>
      <w:pPr>
        <w:pStyle w:val="ListNumber"/>
      </w:pPr>
      <w:r>
        <w:t>chronology and competing sequences;</w:t>
      </w:r>
    </w:p>
    <w:p>
      <w:pPr>
        <w:pStyle w:val="ListNumber"/>
      </w:pPr>
      <w:r>
        <w:t>money, inventory, and essence accounting;</w:t>
      </w:r>
    </w:p>
    <w:p>
      <w:pPr>
        <w:pStyle w:val="ListNumber"/>
      </w:pPr>
      <w:r>
        <w:t>continuity and textual queries;</w:t>
      </w:r>
    </w:p>
    <w:p>
      <w:pPr>
        <w:pStyle w:val="ListNumber"/>
      </w:pPr>
      <w:r>
        <w:t>decisions to preserve the text.</w:t>
      </w:r>
    </w:p>
    <w:p>
      <w:r/>
      <w:r>
        <w:rPr>
          <w:b/>
        </w:rPr>
        <w:t>Next planned batch: Chapters 51–80.</w:t>
      </w:r>
      <w:r>
        <w:t xml:space="preserve"> Particular attention will go to the murder investigation's timing, further financial balances, the image-wall trigger, and the first middle-stage breakthroughs.</w:t>
      </w:r>
    </w:p>
    <w:p>
      <w:r>
        <w:t>The thirty-chapter format has proved workable for this batch. It reduces reporting overhead without replacing full text reading with screening. It is not a guarantee that every subsequent batch will take the same time or fit the same chapter count.</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13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SEQUENTIAL REVIEW / CHAPTERS21–50  /  THE OMNIARCH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b/>
      <w:bCs/>
      <w:color w:val="163B4B"/>
      <w:sz w:val="2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Calibri" w:hAnsi="Calibri"/>
      <w:b/>
      <w:bCs/>
      <w:color w:val="163B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B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63B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Omniarch: Sequential Review, Chapters21–50</dc:title>
  <dc:subject>Thirty complete source chapters; all emendations held for global reconciliation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