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51–80</w:t>
      </w:r>
    </w:p>
    <w:p>
      <w:pPr>
        <w:pStyle w:val="Heading1"/>
      </w:pPr>
      <w:r>
        <w:t>Batch 004 | The Omniarch</w:t>
      </w:r>
    </w:p>
    <w:p>
      <w:r/>
      <w:r>
        <w:rPr>
          <w:b/>
        </w:rPr>
        <w:t>Completed:</w:t>
      </w:r>
      <w:r>
        <w:t xml:space="preserve"> Chapters 1–80 of 2,334. </w:t>
      </w:r>
      <w:r>
        <w:rPr>
          <w:b/>
        </w:rPr>
        <w:t>Next unread:</w:t>
      </w:r>
      <w:r>
        <w:t xml:space="preserve"> Chapter 81. </w:t>
      </w:r>
      <w:r>
        <w:rPr>
          <w:b/>
        </w:rPr>
        <w:t>Remaining:</w:t>
      </w:r>
      <w:r>
        <w:t xml:space="preserve"> 2,254 chapters.</w:t>
      </w:r>
    </w:p>
    <w:p>
      <w:r>
        <w:t xml:space="preserve">This batch contains </w:t>
      </w:r>
      <w:r>
        <w:rPr>
          <w:b/>
        </w:rPr>
        <w:t>2,399 source paragraphs and 89,144 paragraph characters</w:t>
      </w:r>
      <w:r>
        <w:t xml:space="preserve">, read in fifteen complete, untruncated two-chapter sequences. Cumulative coverage is </w:t>
      </w:r>
      <w:r>
        <w:rPr>
          <w:b/>
        </w:rPr>
        <w:t>6,004 paragraphs and 227,523 characters</w:t>
      </w:r>
      <w:r>
        <w:t>. Extraction alone was not counted. This is Chinese-source review, not a fresh bilingual or live-site audit.</w:t>
      </w:r>
    </w:p>
    <w:p>
      <w:r/>
      <w:r>
        <w:rPr>
          <w:b/>
        </w:rPr>
        <w:t>Publication status: HOLD.</w:t>
      </w:r>
      <w:r>
        <w:t xml:space="preserve"> All 38 proposals remain unapproved and unapplied. The whole novel has not yet been read or temporally reconciled. No source, site or repository changes were made.</w:t>
      </w:r>
    </w:p>
    <w:p>
      <w:pPr>
        <w:pStyle w:val="Heading1"/>
      </w:pPr>
      <w:r>
        <w:t>1. The strongest new chronology issue</w:t>
      </w:r>
    </w:p>
    <w:p>
      <w:r>
        <w:t>Chapter 7 places the lesson in April, seven days after the awakening ceremony. Chapter 72 explicitly reaches late June, but its teacher describes the preceding training as a half-year:</w:t>
      </w:r>
    </w:p>
    <w:p>
      <w:pPr>
        <w:pStyle w:val="Quote"/>
      </w:pPr>
      <w:r>
        <w:t>“一晃之下，你们都已经掌握了第二头蛊虫，甚至突破到了高阶。在之前的半年里，你们勤学苦练，如今已经有了一定的根基，是该到野外锤炼一下了。真正的战斗，不是草人傀儡、木人傀儡这样干巴巴的对象。”</w:t>
      </w:r>
    </w:p>
    <w:p>
      <w:r>
        <w:t xml:space="preserve">The existing short sequence does not supply six months of academy training. The working proposal is </w:t>
      </w:r>
      <w:r>
        <w:rPr>
          <w:b/>
        </w:rPr>
        <w:t>“Over the past few months”</w:t>
      </w:r>
      <w:r>
        <w:t>, not moving the April anchor or renaming the mid-year exam. A mid-year examination can occur in June even if the pupils entered partway through the year. This remains dependent on the opening chronology and all later recaps.</w:t>
      </w:r>
    </w:p>
    <w:p>
      <w:r>
        <w:t>A second schedule issue predates this batch: Chapter 26 promised appointment of officers after three months, while Chapter 53 makes those appointments much earlier in the linked narrative. A changed schedule is possible, but no change is announced. The held repair would make appointment contingent on the qualifying results rather than a mandatory three-month wait. Do not invent an unseen multi-month gap.</w:t>
      </w:r>
    </w:p>
    <w:p>
      <w:pPr>
        <w:pStyle w:val="Heading1"/>
      </w:pPr>
      <w:r>
        <w:t>2. The newly established sequence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Section</w:t>
            </w:r>
          </w:p>
        </w:tc>
        <w:tc>
          <w:tcPr>
            <w:tcW w:type="dxa" w:w="3331"/>
          </w:tcPr>
          <w:p>
            <w:r>
              <w:t>Textual timing</w:t>
            </w:r>
          </w:p>
        </w:tc>
        <w:tc>
          <w:tcPr>
            <w:tcW w:type="dxa" w:w="3331"/>
          </w:tcPr>
          <w:p>
            <w:r>
              <w:t>Editorial treatment</w:t>
            </w:r>
          </w:p>
        </w:tc>
      </w:tr>
      <w:tr>
        <w:tc>
          <w:tcPr>
            <w:tcW w:type="dxa" w:w="3331"/>
          </w:tcPr>
          <w:p>
            <w:r>
              <w:t>Ch51–53</w:t>
            </w:r>
          </w:p>
        </w:tc>
        <w:tc>
          <w:tcPr>
            <w:tcW w:type="dxa" w:w="3331"/>
          </w:tcPr>
          <w:p>
            <w:r>
              <w:t>Breakthrough morning; intervening breakthroughs; fifth-day stipend</w:t>
            </w:r>
          </w:p>
        </w:tc>
        <w:tc>
          <w:tcPr>
            <w:tcW w:type="dxa" w:w="3331"/>
          </w:tcPr>
          <w:p>
            <w:r>
              <w:t>Preserve sequence; query Chi Cheng's ordinal</w:t>
            </w:r>
          </w:p>
        </w:tc>
      </w:tr>
      <w:tr>
        <w:tc>
          <w:tcPr>
            <w:tcW w:type="dxa" w:w="3331"/>
          </w:tcPr>
          <w:p>
            <w:r>
              <w:t>Ch54–59</w:t>
            </w:r>
          </w:p>
        </w:tc>
        <w:tc>
          <w:tcPr>
            <w:tcW w:type="dxa" w:w="3331"/>
          </w:tcPr>
          <w:p>
            <w:r>
              <w:t>Extortion, investigation and Jia Fu's departure that evening/night</w:t>
            </w:r>
          </w:p>
        </w:tc>
        <w:tc>
          <w:tcPr>
            <w:tcW w:type="dxa" w:w="3331"/>
          </w:tcPr>
          <w:p>
            <w:r>
              <w:t>Treat false testimony as testimony, not objective chronology</w:t>
            </w:r>
          </w:p>
        </w:tc>
      </w:tr>
      <w:tr>
        <w:tc>
          <w:tcPr>
            <w:tcW w:type="dxa" w:w="3331"/>
          </w:tcPr>
          <w:p>
            <w:r>
              <w:t>Ch60</w:t>
            </w:r>
          </w:p>
        </w:tc>
        <w:tc>
          <w:tcPr>
            <w:tcW w:type="dxa" w:w="3331"/>
          </w:tcPr>
          <w:p>
            <w:r>
              <w:t>Wait over ten days after Jia Fu leaves; now sixth digging day; revelation over a month earlier</w:t>
            </w:r>
          </w:p>
        </w:tc>
        <w:tc>
          <w:tcPr>
            <w:tcW w:type="dxa" w:w="3331"/>
          </w:tcPr>
          <w:p>
            <w:r>
              <w:t>Broad intervals can coexist; avoid double-counting excavation days</w:t>
            </w:r>
          </w:p>
        </w:tc>
      </w:tr>
      <w:tr>
        <w:tc>
          <w:tcPr>
            <w:tcW w:type="dxa" w:w="3331"/>
          </w:tcPr>
          <w:p>
            <w:r>
              <w:t>Ch61–63</w:t>
            </w:r>
          </w:p>
        </w:tc>
        <w:tc>
          <w:tcPr>
            <w:tcW w:type="dxa" w:w="3331"/>
          </w:tcPr>
          <w:p>
            <w:r>
              <w:t>Next morning lesson; evening exploration; next morning Gu selection; same evening inheritance</w:t>
            </w:r>
          </w:p>
        </w:tc>
        <w:tc>
          <w:tcPr>
            <w:tcW w:type="dxa" w:w="3331"/>
          </w:tcPr>
          <w:p>
            <w:r>
              <w:t>Ropework takes one hour and cautious traversal two hours</w:t>
            </w:r>
          </w:p>
        </w:tc>
      </w:tr>
      <w:tr>
        <w:tc>
          <w:tcPr>
            <w:tcW w:type="dxa" w:w="3331"/>
          </w:tcPr>
          <w:p>
            <w:r>
              <w:t>Ch64–70</w:t>
            </w:r>
          </w:p>
        </w:tc>
        <w:tc>
          <w:tcPr>
            <w:tcW w:type="dxa" w:w="3331"/>
          </w:tcPr>
          <w:p>
            <w:r>
              <w:t>Later noon, hunting and household confrontation, later night hunt</w:t>
            </w:r>
          </w:p>
        </w:tc>
        <w:tc>
          <w:tcPr>
            <w:tcW w:type="dxa" w:w="3331"/>
          </w:tcPr>
          <w:p>
            <w:r>
              <w:t>Exact intervening day count not supplied everywhere</w:t>
            </w:r>
          </w:p>
        </w:tc>
      </w:tr>
      <w:tr>
        <w:tc>
          <w:tcPr>
            <w:tcW w:type="dxa" w:w="3331"/>
          </w:tcPr>
          <w:p>
            <w:r>
              <w:t>Ch71–73</w:t>
            </w:r>
          </w:p>
        </w:tc>
        <w:tc>
          <w:tcPr>
            <w:tcW w:type="dxa" w:w="3331"/>
          </w:tcPr>
          <w:p>
            <w:r>
              <w:t>Mid-June, late June, then three days to the examination</w:t>
            </w:r>
          </w:p>
        </w:tc>
        <w:tc>
          <w:tcPr>
            <w:tcW w:type="dxa" w:w="3331"/>
          </w:tcPr>
          <w:p>
            <w:r>
              <w:t>Strong calendar anchors</w:t>
            </w:r>
          </w:p>
        </w:tc>
      </w:tr>
      <w:tr>
        <w:tc>
          <w:tcPr>
            <w:tcW w:type="dxa" w:w="3331"/>
          </w:tcPr>
          <w:p>
            <w:r>
              <w:t>Ch73–77</w:t>
            </w:r>
          </w:p>
        </w:tc>
        <w:tc>
          <w:tcPr>
            <w:tcW w:type="dxa" w:w="3331"/>
          </w:tcPr>
          <w:p>
            <w:r>
              <w:t>Examination day, assassination, one-hour detour and late return</w:t>
            </w:r>
          </w:p>
        </w:tc>
        <w:tc>
          <w:tcPr>
            <w:tcW w:type="dxa" w:w="3331"/>
          </w:tcPr>
          <w:p>
            <w:r>
              <w:t>One afternoon; attacker's cooldown is not elapsed time</w:t>
            </w:r>
          </w:p>
        </w:tc>
      </w:tr>
      <w:tr>
        <w:tc>
          <w:tcPr>
            <w:tcW w:type="dxa" w:w="3331"/>
          </w:tcPr>
          <w:p>
            <w:r>
              <w:t>Ch78</w:t>
            </w:r>
          </w:p>
        </w:tc>
        <w:tc>
          <w:tcPr>
            <w:tcW w:type="dxa" w:w="3331"/>
          </w:tcPr>
          <w:p>
            <w:r>
              <w:t>Death news three days later; another ten-plus days to upper stage</w:t>
            </w:r>
          </w:p>
        </w:tc>
        <w:tc>
          <w:tcPr>
            <w:tcW w:type="dxa" w:w="3331"/>
          </w:tcPr>
          <w:p>
            <w:r>
              <w:t>News date is not death date</w:t>
            </w:r>
          </w:p>
        </w:tc>
      </w:tr>
      <w:tr>
        <w:tc>
          <w:tcPr>
            <w:tcW w:type="dxa" w:w="3331"/>
          </w:tcPr>
          <w:p>
            <w:r>
              <w:t>Ch79–80</w:t>
            </w:r>
          </w:p>
        </w:tc>
        <w:tc>
          <w:tcPr>
            <w:tcW w:type="dxa" w:w="3331"/>
          </w:tcPr>
          <w:p>
            <w:r>
              <w:t>Summer becomes autumn; later deep autumn, over two months after attack</w:t>
            </w:r>
          </w:p>
        </w:tc>
        <w:tc>
          <w:tcPr>
            <w:tcW w:type="dxa" w:w="3331"/>
          </w:tcPr>
          <w:p>
            <w:r>
              <w:t>Seasonal wording still needs later calendar reconciliation</w:t>
            </w:r>
          </w:p>
        </w:tc>
      </w:tr>
    </w:tbl>
    <w:p>
      <w:r/>
      <w:r>
        <w:rPr>
          <w:b/>
        </w:rPr>
        <w:t>The autumn watch item:</w:t>
      </w:r>
      <w:r>
        <w:t xml:space="preserve"> late June or early July plus two-plus months points roughly toward September, while Chapter 80 says 深秋. The novel has not established enough exact calendar detail to justify forcing this to three or four months. Retain both readings in the register. Do not silently impose Gregorian seasonal boundaries.</w:t>
      </w:r>
    </w:p>
    <w:p>
      <w:r>
        <w:t>Fang Zheng's seven-day, seven-night coma is narrated retrospectively in Chapter 80. It does not conflict with Fang Yuan receiving confirmation of Wang Da's death three days after the attack. Similarly, the investigator's predicted arrival in two or three years is Fang Yuan's forecast, not a fixed appointment.</w:t>
      </w:r>
    </w:p>
    <w:p>
      <w:pPr>
        <w:pStyle w:val="Heading1"/>
      </w:pPr>
      <w:r>
        <w:t>3. New active proposals</w:t>
      </w:r>
    </w:p>
    <w:p>
      <w:r>
        <w:t>The table gives actions, not approvals. Full quotations, rationale and confidence are in the continuity jotter and cumulative ledger.</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ID</w:t>
            </w:r>
          </w:p>
        </w:tc>
        <w:tc>
          <w:tcPr>
            <w:tcW w:type="dxa" w:w="2498"/>
          </w:tcPr>
          <w:p>
            <w:r>
              <w:t>Location</w:t>
            </w:r>
          </w:p>
        </w:tc>
        <w:tc>
          <w:tcPr>
            <w:tcW w:type="dxa" w:w="2498"/>
          </w:tcPr>
          <w:p>
            <w:r>
              <w:t>Working action</w:t>
            </w:r>
          </w:p>
        </w:tc>
        <w:tc>
          <w:tcPr>
            <w:tcW w:type="dxa" w:w="2498"/>
          </w:tcPr>
          <w:p>
            <w:r>
              <w:t>Confidence / dependency</w:t>
            </w:r>
          </w:p>
        </w:tc>
      </w:tr>
      <w:tr>
        <w:tc>
          <w:tcPr>
            <w:tcW w:type="dxa" w:w="2498"/>
          </w:tcPr>
          <w:p>
            <w:r>
              <w:t>SR-029</w:t>
            </w:r>
          </w:p>
        </w:tc>
        <w:tc>
          <w:tcPr>
            <w:tcW w:type="dxa" w:w="2498"/>
          </w:tcPr>
          <w:p>
            <w:r>
              <w:t>Ch53 p22; Ch53 p24; Ch53 p26; Ch53 p27; Ch54 p22; Ch62 p87</w:t>
            </w:r>
          </w:p>
        </w:tc>
        <w:tc>
          <w:tcPr>
            <w:tcW w:type="dxa" w:w="2498"/>
          </w:tcPr>
          <w:p>
            <w:r>
              <w:t>If overall ranking is intended, change Chi Cheng third→fourth at all three linked mentions. Alternatively specify third among the remaining candidates.</w:t>
            </w:r>
          </w:p>
        </w:tc>
        <w:tc>
          <w:tcPr>
            <w:tcW w:type="dxa" w:w="2498"/>
          </w:tcPr>
          <w:p>
            <w:r>
              <w:t>High for overall sequence; medium for repair because candidate-subset usage is possible. Resolve whether Ch53/54 excludes Fang Yuan; preserve correct officer appointments.</w:t>
            </w:r>
          </w:p>
        </w:tc>
      </w:tr>
      <w:tr>
        <w:tc>
          <w:tcPr>
            <w:tcW w:type="dxa" w:w="2498"/>
          </w:tcPr>
          <w:p>
            <w:r>
              <w:t>SR-030</w:t>
            </w:r>
          </w:p>
        </w:tc>
        <w:tc>
          <w:tcPr>
            <w:tcW w:type="dxa" w:w="2498"/>
          </w:tcPr>
          <w:p>
            <w:r>
              <w:t>Ch54 p55; Ch54 p58</w:t>
            </w:r>
          </w:p>
        </w:tc>
        <w:tc>
          <w:tcPr>
            <w:tcW w:type="dxa" w:w="2498"/>
          </w:tcPr>
          <w:p>
            <w:r>
              <w:t>Retain68 pending reconciliation. If56 paying peers remain, use67 for levy-only receipts or70 including own3-stone stipend, and label the accounting scope.</w:t>
            </w:r>
          </w:p>
        </w:tc>
        <w:tc>
          <w:tcPr>
            <w:tcW w:type="dxa" w:w="2498"/>
          </w:tcPr>
          <w:p>
            <w:r>
              <w:t>High conditional arithmetic; medium defect assessment because a pupil is speaking. Confirm later cohort headcounts and receipts; do not manufacture a missing payer or expense.</w:t>
            </w:r>
          </w:p>
        </w:tc>
      </w:tr>
      <w:tr>
        <w:tc>
          <w:tcPr>
            <w:tcW w:type="dxa" w:w="2498"/>
          </w:tcPr>
          <w:p>
            <w:r>
              <w:t>SR-031</w:t>
            </w:r>
          </w:p>
        </w:tc>
        <w:tc>
          <w:tcPr>
            <w:tcW w:type="dxa" w:w="2498"/>
          </w:tcPr>
          <w:p>
            <w:r>
              <w:t>Ch44 p1; Ch55 p67; Ch56 p11</w:t>
            </w:r>
          </w:p>
        </w:tc>
        <w:tc>
          <w:tcPr>
            <w:tcW w:type="dxa" w:w="2498"/>
          </w:tcPr>
          <w:p>
            <w:r>
              <w:t>If harmonising the witness rather than preserving mistaken testimony, change 那天上午→那天中午; English: that noon.</w:t>
            </w:r>
          </w:p>
        </w:tc>
        <w:tc>
          <w:tcPr>
            <w:tcW w:type="dxa" w:w="2498"/>
          </w:tcPr>
          <w:p>
            <w:r>
              <w:t>High local mismatch; medium emendation. Character testimony need not be accurate; distinguish this from murder-date repair SR-018.</w:t>
            </w:r>
          </w:p>
        </w:tc>
      </w:tr>
      <w:tr>
        <w:tc>
          <w:tcPr>
            <w:tcW w:type="dxa" w:w="2498"/>
          </w:tcPr>
          <w:p>
            <w:r>
              <w:t>SR-032</w:t>
            </w:r>
          </w:p>
        </w:tc>
        <w:tc>
          <w:tcPr>
            <w:tcW w:type="dxa" w:w="2498"/>
          </w:tcPr>
          <w:p>
            <w:r>
              <w:t>Ch7 p4; Ch7 p47; Ch72 p2; Ch72 p26</w:t>
            </w:r>
          </w:p>
        </w:tc>
        <w:tc>
          <w:tcPr>
            <w:tcW w:type="dxa" w:w="2498"/>
          </w:tcPr>
          <w:p>
            <w:r>
              <w:t>Working repair: 在之前的半年里→在过去这几个月里; English: Over the past few months. Retain mid-year examination.</w:t>
            </w:r>
          </w:p>
        </w:tc>
        <w:tc>
          <w:tcPr>
            <w:tcW w:type="dxa" w:w="2498"/>
          </w:tcPr>
          <w:p>
            <w:r>
              <w:t>High tension in short chronology; moderate preferred wording. Reconcile SR-002/SR-017 and all later academy dates; do not shift April to another month simply to save this sentence.</w:t>
            </w:r>
          </w:p>
        </w:tc>
      </w:tr>
      <w:tr>
        <w:tc>
          <w:tcPr>
            <w:tcW w:type="dxa" w:w="2498"/>
          </w:tcPr>
          <w:p>
            <w:r>
              <w:t>SR-033</w:t>
            </w:r>
          </w:p>
        </w:tc>
        <w:tc>
          <w:tcPr>
            <w:tcW w:type="dxa" w:w="2498"/>
          </w:tcPr>
          <w:p>
            <w:r>
              <w:t>Ch26 p14; Ch53 p28; Ch53 p95</w:t>
            </w:r>
          </w:p>
        </w:tc>
        <w:tc>
          <w:tcPr>
            <w:tcW w:type="dxa" w:w="2498"/>
          </w:tcPr>
          <w:p>
            <w:r>
              <w:t>If early appointment was intended, revise 三个月后→届时 and explain selection once the leading candidates qualify; otherwise preserve as an unannounced schedule change.</w:t>
            </w:r>
          </w:p>
        </w:tc>
        <w:tc>
          <w:tcPr>
            <w:tcW w:type="dxa" w:w="2498"/>
          </w:tcPr>
          <w:p>
            <w:r>
              <w:t>Moderate continuity query; low-to-moderate repair confidence. Whole academy calendar and possibility of changed policy; no invented two-month hiatus.</w:t>
            </w:r>
          </w:p>
        </w:tc>
      </w:tr>
      <w:tr>
        <w:tc>
          <w:tcPr>
            <w:tcW w:type="dxa" w:w="2498"/>
          </w:tcPr>
          <w:p>
            <w:r>
              <w:t>SR-034</w:t>
            </w:r>
          </w:p>
        </w:tc>
        <w:tc>
          <w:tcPr>
            <w:tcW w:type="dxa" w:w="2498"/>
          </w:tcPr>
          <w:p>
            <w:r>
              <w:t>Ch66 p49; Ch67 p16</w:t>
            </w:r>
          </w:p>
        </w:tc>
        <w:tc>
          <w:tcPr>
            <w:tcW w:type="dxa" w:w="2498"/>
          </w:tcPr>
          <w:p>
            <w:r>
              <w:t>If the household scene is continuous with the afternoon arrival, 今天早上你就多睡一会儿嘛→今天你就多休息一会儿嘛. English: You should rest a little more today.</w:t>
            </w:r>
          </w:p>
        </w:tc>
        <w:tc>
          <w:tcPr>
            <w:tcW w:type="dxa" w:w="2498"/>
          </w:tcPr>
          <w:p>
            <w:r>
              <w:t>Moderate query, conditional repair. Determine whether scene is an implicit earlier cut; do not move the killing to morning or insert a day.</w:t>
            </w:r>
          </w:p>
        </w:tc>
      </w:tr>
      <w:tr>
        <w:tc>
          <w:tcPr>
            <w:tcW w:type="dxa" w:w="2498"/>
          </w:tcPr>
          <w:p>
            <w:r>
              <w:t>SR-035</w:t>
            </w:r>
          </w:p>
        </w:tc>
        <w:tc>
          <w:tcPr>
            <w:tcW w:type="dxa" w:w="2498"/>
          </w:tcPr>
          <w:p>
            <w:r>
              <w:t>Ch62 p40; Ch62 p62</w:t>
            </w:r>
          </w:p>
        </w:tc>
        <w:tc>
          <w:tcPr>
            <w:tcW w:type="dxa" w:w="2498"/>
          </w:tcPr>
          <w:p>
            <w:r>
              <w:t>持续时间是蛮力天牛蛊的一倍→持续时间是蛮力天牛蛊的两倍. English: lasts twice as long.</w:t>
            </w:r>
          </w:p>
        </w:tc>
        <w:tc>
          <w:tcPr>
            <w:tcW w:type="dxa" w:w="2498"/>
          </w:tcPr>
          <w:p>
            <w:r>
              <w:t>High local confidence. Apply only to this explicit ratio, not every倍 construction.</w:t>
            </w:r>
          </w:p>
        </w:tc>
      </w:tr>
      <w:tr>
        <w:tc>
          <w:tcPr>
            <w:tcW w:type="dxa" w:w="2498"/>
          </w:tcPr>
          <w:p>
            <w:r>
              <w:t>SR-036</w:t>
            </w:r>
          </w:p>
        </w:tc>
        <w:tc>
          <w:tcPr>
            <w:tcW w:type="dxa" w:w="2498"/>
          </w:tcPr>
          <w:p>
            <w:r>
              <w:t>Ch66 p14; Ch66 p28; Ch66 p74</w:t>
            </w:r>
          </w:p>
        </w:tc>
        <w:tc>
          <w:tcPr>
            <w:tcW w:type="dxa" w:w="2498"/>
          </w:tcPr>
          <w:p>
            <w:r>
              <w:t>另外两个蛊师→另外两个猎手; English: the other two hunters.</w:t>
            </w:r>
          </w:p>
        </w:tc>
        <w:tc>
          <w:tcPr>
            <w:tcW w:type="dxa" w:w="2498"/>
          </w:tcPr>
          <w:p>
            <w:r>
              <w:t>High contextual confidence. Source witness validation; not a claim that liveEnglish currently contains the error.</w:t>
            </w:r>
          </w:p>
        </w:tc>
      </w:tr>
      <w:tr>
        <w:tc>
          <w:tcPr>
            <w:tcW w:type="dxa" w:w="2498"/>
          </w:tcPr>
          <w:p>
            <w:r>
              <w:t>SR-037</w:t>
            </w:r>
          </w:p>
        </w:tc>
        <w:tc>
          <w:tcPr>
            <w:tcW w:type="dxa" w:w="2498"/>
          </w:tcPr>
          <w:p>
            <w:r>
              <w:t>Ch74 p38; Ch76 p17</w:t>
            </w:r>
          </w:p>
        </w:tc>
        <w:tc>
          <w:tcPr>
            <w:tcW w:type="dxa" w:w="2498"/>
          </w:tcPr>
          <w:p>
            <w:r>
              <w:t>Change 王二→王大 at Ch74p38 and Ch76p17.</w:t>
            </w:r>
          </w:p>
        </w:tc>
        <w:tc>
          <w:tcPr>
            <w:tcW w:type="dxa" w:w="2498"/>
          </w:tcPr>
          <w:p>
            <w:r>
              <w:t>High contextual confidence. Do not change deliberate Fang Yuan/Fang Zheng mistaken identity in the same sequence.</w:t>
            </w:r>
          </w:p>
        </w:tc>
      </w:tr>
      <w:tr>
        <w:tc>
          <w:tcPr>
            <w:tcW w:type="dxa" w:w="2498"/>
          </w:tcPr>
          <w:p>
            <w:r>
              <w:t>SR-038</w:t>
            </w:r>
          </w:p>
        </w:tc>
        <w:tc>
          <w:tcPr>
            <w:tcW w:type="dxa" w:w="2498"/>
          </w:tcPr>
          <w:p>
            <w:r>
              <w:t>Ch75 p75; Ch75 p82; Ch75 p83; Ch76 p23; Ch76 p36; Ch76 p76; Ch77 p68</w:t>
            </w:r>
          </w:p>
        </w:tc>
        <w:tc>
          <w:tcPr>
            <w:tcW w:type="dxa" w:w="2498"/>
          </w:tcPr>
          <w:p>
            <w:r>
              <w:t>Working standard: 爱别离, with one consistent English Gu name. Harmonise earlier 爱生离 only after later usage is checked.</w:t>
            </w:r>
          </w:p>
        </w:tc>
        <w:tc>
          <w:tcPr>
            <w:tcW w:type="dxa" w:w="2498"/>
          </w:tcPr>
          <w:p>
            <w:r>
              <w:t>High identity confidence; medium preferred canonical form. Later appearances, recipes and independent witnesses; do not invent a second poison Gu.</w:t>
            </w:r>
          </w:p>
        </w:tc>
      </w:tr>
    </w:tbl>
    <w:p>
      <w:pPr>
        <w:pStyle w:val="Heading2"/>
      </w:pPr>
      <w:r>
        <w:t>Existing proposals updated</w:t>
      </w:r>
    </w:p>
    <w:p>
      <w:pPr>
        <w:pStyle w:val="ListBullet"/>
      </w:pPr>
      <w:r/>
      <w:r>
        <w:rPr>
          <w:b/>
        </w:rPr>
        <w:t>SR-024, Mo Chen/Mo Bei:</w:t>
      </w:r>
      <w:r>
        <w:t xml:space="preserve"> add Ch62pp5,83; Ch71p56; Ch73pp35,37. These are the pupil Mo Bei, not his grandfather. Ch63p13 independently confirms the pupil's Gu choice. Elder Mo Chen in the council must remain unchanged.</w:t>
      </w:r>
    </w:p>
    <w:p>
      <w:pPr>
        <w:pStyle w:val="ListBullet"/>
      </w:pPr>
      <w:r/>
      <w:r>
        <w:rPr>
          <w:b/>
        </w:rPr>
        <w:t>SR-017, recording duration:</w:t>
      </w:r>
      <w:r>
        <w:t xml:space="preserve"> Chapter60's later wait and excavation cannot be moved backward to lengthen the recording before Chapter46. They do not solve that earlier issue.</w:t>
      </w:r>
    </w:p>
    <w:p>
      <w:pPr>
        <w:pStyle w:val="ListBullet"/>
      </w:pPr>
      <w:r/>
      <w:r>
        <w:rPr>
          <w:b/>
        </w:rPr>
        <w:t>SR-018, caravan murder night:</w:t>
      </w:r>
      <w:r>
        <w:t xml:space="preserve"> Chapter56 reinforces the noon visit and following-evening dispute, and confirms rain on departure day. It does not supply a decisive new date resolving every “last night” reference.</w:t>
      </w:r>
    </w:p>
    <w:p>
      <w:pPr>
        <w:pStyle w:val="ListBullet"/>
      </w:pPr>
      <w:r/>
      <w:r>
        <w:rPr>
          <w:b/>
        </w:rPr>
        <w:t>SR-022, 45 versus44:</w:t>
      </w:r>
      <w:r>
        <w:t xml:space="preserve"> Chapter80 explicitly confirms44% full aperture volume. This supports the existing local proposal, not a global recalculation of aptitudes.</w:t>
      </w:r>
    </w:p>
    <w:p>
      <w:pPr>
        <w:pStyle w:val="Heading1"/>
      </w:pPr>
      <w:r>
        <w:t>4. Resources: exact arithmetic versus missing balances</w:t>
      </w:r>
    </w:p>
    <w:p>
      <w:pPr>
        <w:pStyle w:val="Heading2"/>
      </w:pPr>
      <w:r>
        <w:t>New levy: conditional discrepancy</w:t>
      </w:r>
    </w:p>
    <w:p>
      <w:r>
        <w:t>Chapter54 sets ordinary pupils at1stone, deputies at3each, and the head at8. With the previously established56 paying peers, that is:</w:t>
      </w:r>
    </w:p>
    <w:p>
      <w:r/>
      <w:r>
        <w:rPr>
          <w:b/>
        </w:rPr>
        <w:t>53 × 1 + 2 × 3 + 8 = 67 stones.</w:t>
      </w:r>
      <w:r/>
    </w:p>
    <w:p>
      <w:r>
        <w:t>Adding Fang Yuan's own ordinary stipend gives70. The quoted old total59 fits56+3, but the new stated68 fits neither consistent scope. It is a pupil's statement, so later headcounts and receipts must be checked before calling this an authoritative account or selecting67 versus70.</w:t>
      </w:r>
    </w:p>
    <w:p>
      <w:pPr>
        <w:pStyle w:val="Heading2"/>
      </w:pPr>
      <w:r>
        <w:t>Do not manufacture a full cash balance</w:t>
      </w:r>
    </w:p>
    <w:p>
      <w:r>
        <w:t>The30-stone breakthrough reward is received; the10-stone head stipend is refused. The proposed hundred-plus jars of wine have no quoted deposit yet. Chapter64 gives ongoing food costs above2stones a day and total daily expenditure of at least5, but not a complete running account.</w:t>
      </w:r>
    </w:p>
    <w:p>
      <w:r>
        <w:t>Fang Yuan kills23boars on examination day, giving46fresh tusks. A separate earlier cache exists, but its retrieval and submission are not narrated after the escape detour. Do not automatically add it to the bag handed over. Late arrival carries a four-tusk penalty. The final submitted count is not specified. His claim to have personally hunted only ten-plus tusks is intentional deception, not a replacement for the narrated23kills. The chief also announces a30-stone award. These facts do not establish an exact ending cash balance.</w:t>
      </w:r>
    </w:p>
    <w:p>
      <w:pPr>
        <w:pStyle w:val="Heading2"/>
      </w:pPr>
      <w:r>
        <w:t>Essence and feeding</w:t>
      </w:r>
    </w:p>
    <w:p>
      <w:r>
        <w:t>Chapter70 leaves23high-stage essence points and describes the hunt as costing20. A full44-point starting reserve is not explicitly established. Do not automatically change23to24 or invent a missing1-point expense.</w:t>
      </w:r>
    </w:p>
    <w:p>
      <w:r>
        <w:t xml:space="preserve">Chapter80 is different: the text explicitly supplies </w:t>
      </w:r>
      <w:r>
        <w:rPr>
          <w:b/>
        </w:rPr>
        <w:t>44 − 8 = 36</w:t>
      </w:r>
      <w:r>
        <w:t xml:space="preserve">. Its stage potency is </w:t>
      </w:r>
      <w:r>
        <w:rPr>
          <w:b/>
        </w:rPr>
        <w:t>1:2:4:8</w:t>
      </w:r>
      <w:r>
        <w:t xml:space="preserve">, so Moonlight activation costs </w:t>
      </w:r>
      <w:r>
        <w:rPr>
          <w:b/>
        </w:rPr>
        <w:t>10 / 5 / 2.5 / 1.25</w:t>
      </w:r>
      <w:r>
        <w:t xml:space="preserve"> aperture-capacity points. Eight peak-stage points correspond to64initial-stage points. The correct equations need no repair.</w:t>
      </w:r>
    </w:p>
    <w:p>
      <w:r>
        <w:t>White Boar Gu eats once per five days but can be activated daily for about fifteen minutes. Jade Skin Gu needs two liang of jade every ten days; two monkey eyes, each at least one liang, supply a feeding. Keep feeding intervals, activation intervals and permanent strength gains distinct.</w:t>
      </w:r>
    </w:p>
    <w:p>
      <w:pPr>
        <w:pStyle w:val="Heading1"/>
      </w:pPr>
      <w:r>
        <w:t>5. Important non-errors and one withdrawn suspicion</w:t>
      </w:r>
    </w:p>
    <w:p>
      <w:r/>
      <w:r>
        <w:rPr>
          <w:b/>
        </w:rPr>
        <w:t>The toad buyer is Jia Jin Sheng.</w:t>
      </w:r>
      <w:r>
        <w:t xml:space="preserve"> I rechecked Chapter42pp58–63 before creating a proposal against Chapter55's witness. The transaction explicitly names Jia Jin Sheng. The working-memory suspicion that Jia Fu was the buyer was wrong. No correction is proposed.</w:t>
      </w:r>
    </w:p>
    <w:p>
      <w:r>
        <w:t>Other distinctions that must survive editing:</w:t>
      </w:r>
    </w:p>
    <w:p>
      <w:pPr>
        <w:pStyle w:val="ListBullet"/>
      </w:pPr>
      <w:r>
        <w:t>The guards in Chapters51–52 are wounded, not killed and resurrected.</w:t>
      </w:r>
    </w:p>
    <w:p>
      <w:pPr>
        <w:pStyle w:val="ListBullet"/>
      </w:pPr>
      <w:r>
        <w:t>Fang Yuan lies about the Liquor Worm's origin and the murder. The Bamboo Gentleman test is deliberately defeated through Cicada suppression.</w:t>
      </w:r>
    </w:p>
    <w:p>
      <w:pPr>
        <w:pStyle w:val="ListBullet"/>
      </w:pPr>
      <w:r>
        <w:t>Surveillance begun after his breakthrough is not, on its own, a real alibi for an earlier murder. Do not backdate surveillance to make the elders' conclusion valid.</w:t>
      </w:r>
    </w:p>
    <w:p>
      <w:pPr>
        <w:pStyle w:val="ListBullet"/>
      </w:pPr>
      <w:r>
        <w:t>Wang Da's supposed death and his wife's suicide are rumours later overturned. His attack on the wrong twin is intentional narrative misidentification, not a blanket Fang Yuan→Fang Zheng correction.</w:t>
      </w:r>
    </w:p>
    <w:p>
      <w:pPr>
        <w:pStyle w:val="ListBullet"/>
      </w:pPr>
      <w:r>
        <w:t>Four Gu discussed as feeding expenses and five Gu actually owned are compatible when Cicada is outside the expense subset.</w:t>
      </w:r>
    </w:p>
    <w:p>
      <w:pPr>
        <w:pStyle w:val="ListBullet"/>
      </w:pPr>
      <w:r>
        <w:t>Jiang Ya being called 弟弟 and later 表弟 does not establish contradictory kinship. A live-English “brother” would need its own contextual check.</w:t>
      </w:r>
    </w:p>
    <w:p>
      <w:pPr>
        <w:pStyle w:val="ListBullet"/>
      </w:pPr>
      <w:r>
        <w:t>The public announcement of Fang Zheng's private instruction does not mean his already ongoing lessons only begin then.</w:t>
      </w:r>
    </w:p>
    <w:p>
      <w:pPr>
        <w:pStyle w:val="ListBullet"/>
      </w:pPr>
      <w:r>
        <w:t>Prior-life cultivation rates are explicitly altered by rebirth and training choices. Do not synchronise both branches mechanically.</w:t>
      </w:r>
    </w:p>
    <w:p>
      <w:pPr>
        <w:pStyle w:val="ListBullet"/>
      </w:pPr>
      <w:r>
        <w:t>RevolutionThree independent wilderness travel is not the same claim as safe hunting on patrolled village outskirts.</w:t>
      </w:r>
    </w:p>
    <w:p>
      <w:pPr>
        <w:pStyle w:val="Heading1"/>
      </w:pPr>
      <w:r>
        <w:t>6. Resumable files</w:t>
      </w:r>
    </w:p>
    <w:p>
      <w:pPr>
        <w:pStyle w:val="ListBullet"/>
      </w:pPr>
      <w:r/>
      <w:r>
        <w:rPr>
          <w:rFonts w:ascii="Consolas" w:hAnsi="Consolas"/>
          <w:sz w:val="18"/>
        </w:rPr>
        <w:t>Batch-004-Numbered-Chinese-Source.md</w:t>
      </w:r>
      <w:r>
        <w:t>: actual complete Chinese text, with stable paragraph numbers.</w:t>
      </w:r>
    </w:p>
    <w:p>
      <w:pPr>
        <w:pStyle w:val="ListBullet"/>
      </w:pPr>
      <w:r/>
      <w:r>
        <w:rPr>
          <w:rFonts w:ascii="Consolas" w:hAnsi="Consolas"/>
          <w:sz w:val="18"/>
        </w:rPr>
        <w:t>jotters/Batch-004-Chronology.md</w:t>
      </w:r>
      <w:r>
        <w:t>: chronology entries with exact quotations and evidence status.</w:t>
      </w:r>
    </w:p>
    <w:p>
      <w:pPr>
        <w:pStyle w:val="ListBullet"/>
      </w:pPr>
      <w:r/>
      <w:r>
        <w:rPr>
          <w:rFonts w:ascii="Consolas" w:hAnsi="Consolas"/>
          <w:sz w:val="18"/>
        </w:rPr>
        <w:t>jotters/Batch-004-Resources.md</w:t>
      </w:r>
      <w:r>
        <w:t>: costs, essence, feeding and conditional calculations.</w:t>
      </w:r>
    </w:p>
    <w:p>
      <w:pPr>
        <w:pStyle w:val="ListBullet"/>
      </w:pPr>
      <w:r/>
      <w:r>
        <w:rPr>
          <w:rFonts w:ascii="Consolas" w:hAnsi="Consolas"/>
          <w:sz w:val="18"/>
        </w:rPr>
        <w:t>jotters/Batch-004-Continuity.md</w:t>
      </w:r>
      <w:r>
        <w:t>: active proposals, rationale, confidence and dependencies.</w:t>
      </w:r>
    </w:p>
    <w:p>
      <w:pPr>
        <w:pStyle w:val="ListBullet"/>
      </w:pPr>
      <w:r/>
      <w:r>
        <w:rPr>
          <w:rFonts w:ascii="Consolas" w:hAnsi="Consolas"/>
          <w:sz w:val="18"/>
        </w:rPr>
        <w:t>jotters/Batch-004-Preserve.md</w:t>
      </w:r>
      <w:r>
        <w:t>: safeguards against false corrections.</w:t>
      </w:r>
    </w:p>
    <w:p>
      <w:pPr>
        <w:pStyle w:val="ListBullet"/>
      </w:pPr>
      <w:r/>
      <w:r>
        <w:rPr>
          <w:rFonts w:ascii="Consolas" w:hAnsi="Consolas"/>
          <w:sz w:val="18"/>
        </w:rPr>
        <w:t>Sequential-Reading-and-Proposals.xlsx</w:t>
      </w:r>
      <w:r>
        <w:t>: cumulative paragraph-level source and registers through80.</w:t>
      </w:r>
    </w:p>
    <w:p>
      <w:pPr>
        <w:pStyle w:val="ListBullet"/>
      </w:pPr>
      <w:r/>
      <w:r>
        <w:rPr>
          <w:rFonts w:ascii="Consolas" w:hAnsi="Consolas"/>
          <w:sz w:val="18"/>
        </w:rPr>
        <w:t>reading-progress.json</w:t>
      </w:r>
      <w:r>
        <w:t xml:space="preserve"> and </w:t>
      </w:r>
      <w:r>
        <w:rPr>
          <w:rFonts w:ascii="Consolas" w:hAnsi="Consolas"/>
          <w:sz w:val="18"/>
        </w:rPr>
        <w:t>CURRENT-STATUS.md</w:t>
      </w:r>
      <w:r>
        <w:t>: resumption checkpoint.</w:t>
      </w:r>
    </w:p>
    <w:p>
      <w:r/>
      <w:r>
        <w:rPr>
          <w:b/>
        </w:rPr>
        <w:t>Next planned reporting batch: Chapters81–110</w:t>
      </w:r>
      <w:r>
        <w:t>, still read in smaller complete segments. No reading beyond80 is claimed by this report.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CHAPTERS51–80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Chapters51–80</dc:title>
  <dc:subject>Thirty complete source chapters; all emendations held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