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81–110</w:t>
      </w:r>
    </w:p>
    <w:p>
      <w:pPr>
        <w:pStyle w:val="Heading1"/>
      </w:pPr>
      <w:r>
        <w:t>Batch 005 | The Omniarch</w:t>
      </w:r>
    </w:p>
    <w:p>
      <w:r/>
      <w:r>
        <w:rPr>
          <w:b/>
        </w:rPr>
        <w:t>Actual completed coverage: Chapters 1–110 of 2,334. Next unread: 111. Remaining: 2,224.</w:t>
      </w:r>
      <w:r/>
    </w:p>
    <w:p>
      <w:r>
        <w:t xml:space="preserve">All 30 chapters in this batch were read in fifteen complete, untruncated two-chapter sequences: </w:t>
      </w:r>
      <w:r>
        <w:rPr>
          <w:b/>
        </w:rPr>
        <w:t>2,534 paragraphs / 92,351 source characters</w:t>
      </w:r>
      <w:r>
        <w:t xml:space="preserve">. Cumulative coverage is </w:t>
      </w:r>
      <w:r>
        <w:rPr>
          <w:b/>
        </w:rPr>
        <w:t>8,538 paragraphs / 319,874 characters</w:t>
      </w:r>
      <w:r>
        <w:t>. Extracting the chapters was not counted as reading.</w:t>
      </w:r>
    </w:p>
    <w:p>
      <w:r>
        <w:t xml:space="preserve">This is Chinese-source review, not a new bilingual or live-site audit. </w:t>
      </w:r>
      <w:r>
        <w:rPr>
          <w:b/>
        </w:rPr>
        <w:t>All 48 proposals remain held, unapproved and unapplied.</w:t>
      </w:r>
      <w:r>
        <w:t xml:space="preserve"> Whole-novel temporal consistency is not yet verified. No source, site or repository changes were made.</w:t>
      </w:r>
    </w:p>
    <w:p>
      <w:pPr>
        <w:pStyle w:val="Heading1"/>
      </w:pPr>
      <w:r>
        <w:t>1. Main chronology findings</w:t>
      </w:r>
    </w:p>
    <w:p>
      <w:pPr>
        <w:pStyle w:val="Heading2"/>
      </w:pPr>
      <w:r>
        <w:t>School year, elapsed year and private tuition must be separated</w:t>
      </w:r>
    </w:p>
    <w:p>
      <w:r>
        <w:t>Chapter 109 locates the next awakening ceremony in March. Together with Chapter 7's April lesson, seven days after awakening, this strengthens the spring-entry calendar. It does not support moving the original entry to January just to rescue Chapter 72's half-year claim.</w:t>
      </w:r>
    </w:p>
    <w:p>
      <w:r>
        <w:t>Several new passages describe an academy year, almost a full year, or a full year of extortion. Some may be ordinary school-year shorthand. They should not all be mechanically replaced. The stronger independent problem is Chapter 84's claim that Fang Zheng has been privately taught for a year:</w:t>
      </w:r>
    </w:p>
    <w:p>
      <w:pPr>
        <w:pStyle w:val="Quote"/>
      </w:pPr>
      <w:r>
        <w:t>哼，拥有五百年战斗经验的方源，又岂是被一个四转蛊师教导一年的方正所能媲美的？</w:t>
      </w:r>
    </w:p>
    <w:p>
      <w:r>
        <w:t xml:space="preserve">Those lessons began after the Jia inquiry in Chapter 58. At graduation, the later Jade Skin gift and the June tusk scheme are each recalled as roughly half a year earlier. The preferred held wording for private tuition is </w:t>
      </w:r>
      <w:r>
        <w:rPr>
          <w:b/>
        </w:rPr>
        <w:t>a little over half a year</w:t>
      </w:r>
      <w:r>
        <w:t xml:space="preserve">, with </w:t>
      </w:r>
      <w:r>
        <w:rPr>
          <w:b/>
        </w:rPr>
        <w:t>several months</w:t>
      </w:r>
      <w:r>
        <w:t xml:space="preserve"> available if later dates require less precision.</w:t>
      </w:r>
    </w:p>
    <w:p>
      <w:r>
        <w:t>Chapter 99's Cicada passage also distinguishes a seasonal cycle of spring and autumn from a measured twelve-month recovery period. Do not invent a 365-day minimum for its partial recovery.</w:t>
      </w:r>
    </w:p>
    <w:p>
      <w:pPr>
        <w:pStyle w:val="Heading2"/>
      </w:pPr>
      <w:r>
        <w:t>Age fifteen versus sixteen: a local, repairable mismatch</w:t>
      </w:r>
    </w:p>
    <w:p>
      <w:r>
        <w:t>In Chapter 90, the aunt says Fang Yuan is already sixteen. In the same chapter Fang Yuan says he will be sixteen after New Year. Chapter 86 still calls him fifteen; the later inheritance scene calls both twins sixteen.</w:t>
      </w:r>
    </w:p>
    <w:p>
      <w:r/>
      <w:r>
        <w:rPr>
          <w:b/>
        </w:rPr>
        <w:t>Working correction:</w:t>
      </w:r>
      <w:r>
        <w:t xml:space="preserve"> change the aunt's statement to </w:t>
      </w:r>
      <w:r>
        <w:rPr>
          <w:b/>
        </w:rPr>
        <w:t>He will be sixteen after the New Year.</w:t>
      </w:r>
      <w:r>
        <w:t xml:space="preserve"> This preserves the sequence without inventing a birthday or imposing a Western age convention.</w:t>
      </w:r>
    </w:p>
    <w:p>
      <w:pPr>
        <w:pStyle w:val="Heading2"/>
      </w:pPr>
      <w:r>
        <w:t>The new caravan contradiction is not the butterfly effect itself</w:t>
      </w:r>
    </w:p>
    <w:p>
      <w:r>
        <w:t>Chapter 39 distinguished the caravan's usual April arrival from that year's late May arrival. Chapter 109 now describes summer as the usual arrival season:</w:t>
      </w:r>
    </w:p>
    <w:p>
      <w:pPr>
        <w:pStyle w:val="Quote"/>
      </w:pPr>
      <w:r>
        <w:t>知道商队进驻山寨后，方源在心中轻轻一叹：“又改变了。关于前世的记忆里，这支商队应该是在夏季才到。按照往年的惯例，也是夏季的时候商队到达这里。但是如今，却是提前了两三个月份，在春季就到了。并且规模更大。”</w:t>
      </w:r>
    </w:p>
    <w:p>
      <w:r>
        <w:t>Its current March arrival is explicitly attributed to changes caused by Fang Yuan. Preserve that. The issue is the conflicting description of the ordinary historical schedule.</w:t>
      </w:r>
    </w:p>
    <w:p>
      <w:r>
        <w:t xml:space="preserve">The held clarification distinguishes </w:t>
      </w:r>
      <w:r>
        <w:rPr>
          <w:b/>
        </w:rPr>
        <w:t>usually April</w:t>
      </w:r>
      <w:r>
        <w:t xml:space="preserve"> from </w:t>
      </w:r>
      <w:r>
        <w:rPr>
          <w:b/>
        </w:rPr>
        <w:t>that year's prior-life summer arrival</w:t>
      </w:r>
      <w:r>
        <w:t>. The two-or-three-month advance should then compare March with the remembered summer arrival, not with April. Later caravan evidence may revise this proposal.</w:t>
      </w:r>
    </w:p>
    <w:p>
      <w:pPr>
        <w:pStyle w:val="Heading1"/>
      </w:pPr>
      <w:r>
        <w:t>2. A proposal changed during this reading</w:t>
      </w:r>
    </w:p>
    <w:p>
      <w:pPr>
        <w:pStyle w:val="Heading2"/>
      </w:pPr>
      <w:r>
        <w:t>Year-end prize: preferred 150→100, not 100→150</w:t>
      </w:r>
    </w:p>
    <w:tbl>
      <w:tblPr>
        <w:tblStyle w:val="LightShading-Accent1"/>
        <w:tblW w:type="auto" w:w="0"/>
        <w:tblLook w:firstColumn="1" w:firstRow="1" w:lastColumn="0" w:lastRow="0" w:noHBand="0" w:noVBand="1" w:val="04A0"/>
      </w:tblPr>
      <w:tblGrid>
        <w:gridCol w:w="4997"/>
        <w:gridCol w:w="4997"/>
      </w:tblGrid>
      <w:tr>
        <w:tc>
          <w:tcPr>
            <w:tcW w:type="dxa" w:w="4997"/>
          </w:tcPr>
          <w:p>
            <w:r>
              <w:t>Evidence</w:t>
            </w:r>
          </w:p>
        </w:tc>
        <w:tc>
          <w:tcPr>
            <w:tcW w:type="dxa" w:w="4997"/>
          </w:tcPr>
          <w:p>
            <w:r>
              <w:t>Amount</w:t>
            </w:r>
          </w:p>
        </w:tc>
      </w:tr>
      <w:tr>
        <w:tc>
          <w:tcPr>
            <w:tcW w:type="dxa" w:w="4997"/>
          </w:tcPr>
          <w:p>
            <w:r>
              <w:t>Ch 81 p 31, anticipated prize</w:t>
            </w:r>
          </w:p>
        </w:tc>
        <w:tc>
          <w:tcPr>
            <w:tcW w:type="dxa" w:w="4997"/>
          </w:tcPr>
          <w:p>
            <w:r>
              <w:t>150</w:t>
            </w:r>
          </w:p>
        </w:tc>
      </w:tr>
      <w:tr>
        <w:tc>
          <w:tcPr>
            <w:tcW w:type="dxa" w:w="4997"/>
          </w:tcPr>
          <w:p>
            <w:r>
              <w:t>Ch 81 p 41, formal announcement</w:t>
            </w:r>
          </w:p>
        </w:tc>
        <w:tc>
          <w:tcPr>
            <w:tcW w:type="dxa" w:w="4997"/>
          </w:tcPr>
          <w:p>
            <w:r>
              <w:t>150</w:t>
            </w:r>
          </w:p>
        </w:tc>
      </w:tr>
      <w:tr>
        <w:tc>
          <w:tcPr>
            <w:tcW w:type="dxa" w:w="4997"/>
          </w:tcPr>
          <w:p>
            <w:r>
              <w:t>Ch 86 p 68, chief's award announcement</w:t>
            </w:r>
          </w:p>
        </w:tc>
        <w:tc>
          <w:tcPr>
            <w:tcW w:type="dxa" w:w="4997"/>
          </w:tcPr>
          <w:p>
            <w:r>
              <w:t>100</w:t>
            </w:r>
          </w:p>
        </w:tc>
      </w:tr>
      <w:tr>
        <w:tc>
          <w:tcPr>
            <w:tcW w:type="dxa" w:w="4997"/>
          </w:tcPr>
          <w:p>
            <w:r>
              <w:t>Ch 89 p 14, teammate's recollection</w:t>
            </w:r>
          </w:p>
        </w:tc>
        <w:tc>
          <w:tcPr>
            <w:tcW w:type="dxa" w:w="4997"/>
          </w:tcPr>
          <w:p>
            <w:r>
              <w:t>100</w:t>
            </w:r>
          </w:p>
        </w:tc>
      </w:tr>
      <w:tr>
        <w:tc>
          <w:tcPr>
            <w:tcW w:type="dxa" w:w="4997"/>
          </w:tcPr>
          <w:p>
            <w:r>
              <w:t>Ch 89 p 48, prize covers four months at 25/month</w:t>
            </w:r>
          </w:p>
        </w:tc>
        <w:tc>
          <w:tcPr>
            <w:tcW w:type="dxa" w:w="4997"/>
          </w:tcPr>
          <w:p>
            <w:r>
              <w:t>100 implied</w:t>
            </w:r>
          </w:p>
        </w:tc>
      </w:tr>
    </w:tbl>
    <w:p>
      <w:r>
        <w:t xml:space="preserve">After Chapter 86 alone, raising 100 to 150 was a plausible direction. Chapter 89 supplies a coherent 100-stone chain, including </w:t>
      </w:r>
      <w:r>
        <w:rPr>
          <w:b/>
        </w:rPr>
        <w:t>25×4=100</w:t>
      </w:r>
      <w:r>
        <w:t>. The preferred proposal now changes the two initial 150 figures to 100.</w:t>
      </w:r>
    </w:p>
    <w:p>
      <w:r>
        <w:t>This is still an emendation, not an approved correction. An unannounced reduced payout or later accounting evidence could change the interpretation. No fictitious 50-stone fee has been introduced to reconcile the figures.</w:t>
      </w:r>
    </w:p>
    <w:p>
      <w:pPr>
        <w:pStyle w:val="Heading1"/>
      </w:pPr>
      <w:r>
        <w:t>3. Active proposals added</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ID</w:t>
            </w:r>
          </w:p>
        </w:tc>
        <w:tc>
          <w:tcPr>
            <w:tcW w:type="dxa" w:w="3331"/>
          </w:tcPr>
          <w:p>
            <w:r>
              <w:t>Subject</w:t>
            </w:r>
          </w:p>
        </w:tc>
        <w:tc>
          <w:tcPr>
            <w:tcW w:type="dxa" w:w="3331"/>
          </w:tcPr>
          <w:p>
            <w:r>
              <w:t>Working action</w:t>
            </w:r>
          </w:p>
        </w:tc>
      </w:tr>
      <w:tr>
        <w:tc>
          <w:tcPr>
            <w:tcW w:type="dxa" w:w="3331"/>
          </w:tcPr>
          <w:p>
            <w:r>
              <w:t>SR-039</w:t>
            </w:r>
          </w:p>
        </w:tc>
        <w:tc>
          <w:tcPr>
            <w:tcW w:type="dxa" w:w="3331"/>
          </w:tcPr>
          <w:p>
            <w:r>
              <w:t>Academy/Cicada duration wording</w:t>
            </w:r>
          </w:p>
        </w:tc>
        <w:tc>
          <w:tcPr>
            <w:tcW w:type="dxa" w:w="3331"/>
          </w:tcPr>
          <w:p>
            <w:r>
              <w:t>Distinguish school year and seasonal cycle from literal elapsed year; clarify only the explicit problem passages.</w:t>
            </w:r>
          </w:p>
        </w:tc>
      </w:tr>
      <w:tr>
        <w:tc>
          <w:tcPr>
            <w:tcW w:type="dxa" w:w="3331"/>
          </w:tcPr>
          <w:p>
            <w:r>
              <w:t>SR-040</w:t>
            </w:r>
          </w:p>
        </w:tc>
        <w:tc>
          <w:tcPr>
            <w:tcW w:type="dxa" w:w="3331"/>
          </w:tcPr>
          <w:p>
            <w:r>
              <w:t>Private teaching</w:t>
            </w:r>
          </w:p>
        </w:tc>
        <w:tc>
          <w:tcPr>
            <w:tcW w:type="dxa" w:w="3331"/>
          </w:tcPr>
          <w:p>
            <w:r>
              <w:t>Ch 84 one year→a little over half a year, provisionally.</w:t>
            </w:r>
          </w:p>
        </w:tc>
      </w:tr>
      <w:tr>
        <w:tc>
          <w:tcPr>
            <w:tcW w:type="dxa" w:w="3331"/>
          </w:tcPr>
          <w:p>
            <w:r>
              <w:t>SR-041</w:t>
            </w:r>
          </w:p>
        </w:tc>
        <w:tc>
          <w:tcPr>
            <w:tcW w:type="dxa" w:w="3331"/>
          </w:tcPr>
          <w:p>
            <w:r>
              <w:t>Year-end prize</w:t>
            </w:r>
          </w:p>
        </w:tc>
        <w:tc>
          <w:tcPr>
            <w:tcW w:type="dxa" w:w="3331"/>
          </w:tcPr>
          <w:p>
            <w:r>
              <w:t>Ch 81 pp 31,41:150→100; retain coherent later 100 chain.</w:t>
            </w:r>
          </w:p>
        </w:tc>
      </w:tr>
      <w:tr>
        <w:tc>
          <w:tcPr>
            <w:tcW w:type="dxa" w:w="3331"/>
          </w:tcPr>
          <w:p>
            <w:r>
              <w:t>SR-042</w:t>
            </w:r>
          </w:p>
        </w:tc>
        <w:tc>
          <w:tcPr>
            <w:tcW w:type="dxa" w:w="3331"/>
          </w:tcPr>
          <w:p>
            <w:r>
              <w:t>Aunt's age statement</w:t>
            </w:r>
          </w:p>
        </w:tc>
        <w:tc>
          <w:tcPr>
            <w:tcW w:type="dxa" w:w="3331"/>
          </w:tcPr>
          <w:p>
            <w:r>
              <w:t>Ch 90 already sixteen→will be sixteen after New Year.</w:t>
            </w:r>
          </w:p>
        </w:tc>
      </w:tr>
      <w:tr>
        <w:tc>
          <w:tcPr>
            <w:tcW w:type="dxa" w:w="3331"/>
          </w:tcPr>
          <w:p>
            <w:r>
              <w:t>SR-043</w:t>
            </w:r>
          </w:p>
        </w:tc>
        <w:tc>
          <w:tcPr>
            <w:tcW w:type="dxa" w:w="3331"/>
          </w:tcPr>
          <w:p>
            <w:r>
              <w:t>MovementGu name</w:t>
            </w:r>
          </w:p>
        </w:tc>
        <w:tc>
          <w:tcPr>
            <w:tcW w:type="dxa" w:w="3331"/>
          </w:tcPr>
          <w:p>
            <w:r>
              <w:t>Ch 82 p 61 andCh 93 p 48:赤丸→龙丸, matching the pupil's other appearances.</w:t>
            </w:r>
          </w:p>
        </w:tc>
      </w:tr>
      <w:tr>
        <w:tc>
          <w:tcPr>
            <w:tcW w:type="dxa" w:w="3331"/>
          </w:tcPr>
          <w:p>
            <w:r>
              <w:t>SR-044</w:t>
            </w:r>
          </w:p>
        </w:tc>
        <w:tc>
          <w:tcPr>
            <w:tcW w:type="dxa" w:w="3331"/>
          </w:tcPr>
          <w:p>
            <w:r>
              <w:t>Branch name</w:t>
            </w:r>
          </w:p>
        </w:tc>
        <w:tc>
          <w:tcPr>
            <w:tcW w:type="dxa" w:w="3331"/>
          </w:tcPr>
          <w:p>
            <w:r>
              <w:t>Ch 93 p 57:Mo branch→Chi branch in the Chi Shan-team explanation.</w:t>
            </w:r>
          </w:p>
        </w:tc>
      </w:tr>
      <w:tr>
        <w:tc>
          <w:tcPr>
            <w:tcW w:type="dxa" w:w="3331"/>
          </w:tcPr>
          <w:p>
            <w:r>
              <w:t>SR-045</w:t>
            </w:r>
          </w:p>
        </w:tc>
        <w:tc>
          <w:tcPr>
            <w:tcW w:type="dxa" w:w="3331"/>
          </w:tcPr>
          <w:p>
            <w:r>
              <w:t>Honey collectionGu</w:t>
            </w:r>
          </w:p>
        </w:tc>
        <w:tc>
          <w:tcPr>
            <w:tcW w:type="dxa" w:w="3331"/>
          </w:tcPr>
          <w:p>
            <w:r>
              <w:t>Ch 100 p 57:Jade Skin→White Jade; the former was already consumed in fusion.</w:t>
            </w:r>
          </w:p>
        </w:tc>
      </w:tr>
      <w:tr>
        <w:tc>
          <w:tcPr>
            <w:tcW w:type="dxa" w:w="3331"/>
          </w:tcPr>
          <w:p>
            <w:r>
              <w:t>SR-046</w:t>
            </w:r>
          </w:p>
        </w:tc>
        <w:tc>
          <w:tcPr>
            <w:tcW w:type="dxa" w:w="3331"/>
          </w:tcPr>
          <w:p>
            <w:r>
              <w:t>Hand continuity</w:t>
            </w:r>
          </w:p>
        </w:tc>
        <w:tc>
          <w:tcPr>
            <w:tcW w:type="dxa" w:w="3331"/>
          </w:tcPr>
          <w:p>
            <w:r>
              <w:t>Ch 106 p 26:right→left; right fingers pluck leaves from the left-palm grass.</w:t>
            </w:r>
          </w:p>
        </w:tc>
      </w:tr>
      <w:tr>
        <w:tc>
          <w:tcPr>
            <w:tcW w:type="dxa" w:w="3331"/>
          </w:tcPr>
          <w:p>
            <w:r>
              <w:t>SR-047</w:t>
            </w:r>
          </w:p>
        </w:tc>
        <w:tc>
          <w:tcPr>
            <w:tcW w:type="dxa" w:w="3331"/>
          </w:tcPr>
          <w:p>
            <w:r>
              <w:t>Caravan baseline</w:t>
            </w:r>
          </w:p>
        </w:tc>
        <w:tc>
          <w:tcPr>
            <w:tcW w:type="dxa" w:w="3331"/>
          </w:tcPr>
          <w:p>
            <w:r>
              <w:t>Separate usualApril arrival from the prior-life summer arrival; preserve the deliberate earlyMarch change.</w:t>
            </w:r>
          </w:p>
        </w:tc>
      </w:tr>
      <w:tr>
        <w:tc>
          <w:tcPr>
            <w:tcW w:type="dxa" w:w="3331"/>
          </w:tcPr>
          <w:p>
            <w:r>
              <w:t>SR-048</w:t>
            </w:r>
          </w:p>
        </w:tc>
        <w:tc>
          <w:tcPr>
            <w:tcW w:type="dxa" w:w="3331"/>
          </w:tcPr>
          <w:p>
            <w:r>
              <w:t>Multitasking copy error</w:t>
            </w:r>
          </w:p>
        </w:tc>
        <w:tc>
          <w:tcPr>
            <w:tcW w:type="dxa" w:w="3331"/>
          </w:tcPr>
          <w:p>
            <w:r>
              <w:t>Ch 106 p 19:一心己用→一心多用.</w:t>
            </w:r>
          </w:p>
        </w:tc>
      </w:tr>
    </w:tbl>
    <w:p>
      <w:r>
        <w:t>The continuity jotter and ledger give exact source quotations, rationale, confidence and dependencies for each. High-confidence copy repairs remain held under the same full-corpus policy as temporal proposals.</w:t>
      </w:r>
    </w:p>
    <w:p>
      <w:pPr>
        <w:pStyle w:val="Heading2"/>
      </w:pPr>
      <w:r>
        <w:t>Earlier proposals strengthened or extended</w:t>
      </w:r>
    </w:p>
    <w:p>
      <w:pPr>
        <w:pStyle w:val="ListBullet"/>
      </w:pPr>
      <w:r/>
      <w:r>
        <w:rPr>
          <w:b/>
        </w:rPr>
        <w:t>SR-024:</w:t>
      </w:r>
      <w:r>
        <w:t xml:space="preserve"> add Mo Chen→Mo Bei atCh 82 p 79 andCh 83 p 1. Preserve the actual elderMo Chen atCh 83 p 51.</w:t>
      </w:r>
    </w:p>
    <w:p>
      <w:pPr>
        <w:pStyle w:val="ListBullet"/>
      </w:pPr>
      <w:r/>
      <w:r>
        <w:rPr>
          <w:b/>
        </w:rPr>
        <w:t>SR-030:</w:t>
      </w:r>
      <w:r>
        <w:t xml:space="preserve"> Chapter 81 explicitly counts 57 pupils, supporting 56 paying peers. This strengthens the earlier 67/70-versus 68 accounting query.</w:t>
      </w:r>
    </w:p>
    <w:p>
      <w:pPr>
        <w:pStyle w:val="ListBullet"/>
      </w:pPr>
      <w:r/>
      <w:r>
        <w:rPr>
          <w:b/>
        </w:rPr>
        <w:t>SR-021:</w:t>
      </w:r>
      <w:r>
        <w:t xml:space="preserve"> Chapter 91 explicitly gives Grade C as 40–59%. This strengthens the Grade C 38% mismatch, but does not alone resolve the original scene's staging.</w:t>
      </w:r>
    </w:p>
    <w:p>
      <w:pPr>
        <w:pStyle w:val="ListBullet"/>
      </w:pPr>
      <w:r/>
      <w:r>
        <w:rPr>
          <w:b/>
        </w:rPr>
        <w:t>SR-001:</w:t>
      </w:r>
      <w:r>
        <w:t xml:space="preserve"> Chapter 99 retains 44% aperture occupancy after Revolution Two advancement. No blanket aptitude recalculation is justified.</w:t>
      </w:r>
    </w:p>
    <w:p>
      <w:pPr>
        <w:pStyle w:val="Heading1"/>
      </w:pPr>
      <w:r>
        <w:t>4. Chronology chain and unresolved boundaries</w:t>
      </w:r>
    </w:p>
    <w:tbl>
      <w:tblPr>
        <w:tblStyle w:val="LightShading-Accent1"/>
        <w:tblW w:type="auto" w:w="0"/>
        <w:tblLook w:firstColumn="1" w:firstRow="1" w:lastColumn="0" w:lastRow="0" w:noHBand="0" w:noVBand="1" w:val="04A0"/>
      </w:tblPr>
      <w:tblGrid>
        <w:gridCol w:w="4997"/>
        <w:gridCol w:w="4997"/>
      </w:tblGrid>
      <w:tr>
        <w:tc>
          <w:tcPr>
            <w:tcW w:type="dxa" w:w="4997"/>
          </w:tcPr>
          <w:p>
            <w:r>
              <w:t>Sequence</w:t>
            </w:r>
          </w:p>
        </w:tc>
        <w:tc>
          <w:tcPr>
            <w:tcW w:type="dxa" w:w="4997"/>
          </w:tcPr>
          <w:p>
            <w:r>
              <w:t>Evidence and caution</w:t>
            </w:r>
          </w:p>
        </w:tc>
      </w:tr>
      <w:tr>
        <w:tc>
          <w:tcPr>
            <w:tcW w:type="dxa" w:w="4997"/>
          </w:tcPr>
          <w:p>
            <w:r>
              <w:t>Final exam→first mission</w:t>
            </w:r>
          </w:p>
        </w:tc>
        <w:tc>
          <w:tcPr>
            <w:tcW w:type="dxa" w:w="4997"/>
          </w:tcPr>
          <w:p>
            <w:r>
              <w:t>Three days. Hand wounds healed, but seven-to-eight-day weakness need not have ended.</w:t>
            </w:r>
          </w:p>
        </w:tc>
      </w:tr>
      <w:tr>
        <w:tc>
          <w:tcPr>
            <w:tcW w:type="dxa" w:w="4997"/>
          </w:tcPr>
          <w:p>
            <w:r>
              <w:t>First mission</w:t>
            </w:r>
          </w:p>
        </w:tc>
        <w:tc>
          <w:tcPr>
            <w:tcW w:type="dxa" w:w="4997"/>
          </w:tcPr>
          <w:p>
            <w:r>
              <w:t>Thirty-minute outward run, one-hour collection, return by afternoon; househunting continues into evening.</w:t>
            </w:r>
          </w:p>
        </w:tc>
      </w:tr>
      <w:tr>
        <w:tc>
          <w:tcPr>
            <w:tcW w:type="dxa" w:w="4997"/>
          </w:tcPr>
          <w:p>
            <w:r>
              <w:t>Rental→retreat</w:t>
            </w:r>
          </w:p>
        </w:tc>
        <w:tc>
          <w:tcPr>
            <w:tcW w:type="dxa" w:w="4997"/>
          </w:tcPr>
          <w:p>
            <w:r>
              <w:t>Next morning shopping and departure; the rented room is a decoy. Actual cultivation is at Jiang He's village house.</w:t>
            </w:r>
          </w:p>
        </w:tc>
      </w:tr>
      <w:tr>
        <w:tc>
          <w:tcPr>
            <w:tcW w:type="dxa" w:w="4997"/>
          </w:tcPr>
          <w:p>
            <w:r>
              <w:t>Breakthrough</w:t>
            </w:r>
          </w:p>
        </w:tc>
        <w:tc>
          <w:tcPr>
            <w:tcW w:type="dxa" w:w="4997"/>
          </w:tcPr>
          <w:p>
            <w:r>
              <w:t>Fourth-day success after four days/three nights; sleep until next afternoon, fifth-day exit. Five-days-ago recaps may use inclusive counting.</w:t>
            </w:r>
          </w:p>
        </w:tc>
      </w:tr>
      <w:tr>
        <w:tc>
          <w:tcPr>
            <w:tcW w:type="dxa" w:w="4997"/>
          </w:tcPr>
          <w:p>
            <w:r>
              <w:t>Return journey</w:t>
            </w:r>
          </w:p>
        </w:tc>
        <w:tc>
          <w:tcPr>
            <w:tcW w:type="dxa" w:w="4997"/>
          </w:tcPr>
          <w:p>
            <w:r>
              <w:t>Evening beastwave; five-minute poisonfight, later ten-minute wait for reinforcements.</w:t>
            </w:r>
          </w:p>
        </w:tc>
      </w:tr>
      <w:tr>
        <w:tc>
          <w:tcPr>
            <w:tcW w:type="dxa" w:w="4997"/>
          </w:tcPr>
          <w:p>
            <w:r>
              <w:t>Investigation</w:t>
            </w:r>
          </w:p>
        </w:tc>
        <w:tc>
          <w:tcPr>
            <w:tcW w:type="dxa" w:w="4997"/>
          </w:tcPr>
          <w:p>
            <w:r>
              <w:t>Three days after the wave; one-hour interrogation. Another three-day administrative delay announced for the inheritance mission.</w:t>
            </w:r>
          </w:p>
        </w:tc>
      </w:tr>
      <w:tr>
        <w:tc>
          <w:tcPr>
            <w:tcW w:type="dxa" w:w="4997"/>
          </w:tcPr>
          <w:p>
            <w:r>
              <w:t>Fusion→honey turn-in</w:t>
            </w:r>
          </w:p>
        </w:tc>
        <w:tc>
          <w:tcPr>
            <w:tcW w:type="dxa" w:w="4997"/>
          </w:tcPr>
          <w:p>
            <w:r>
              <w:t>More than ten days; exact preparation intervals are not all stated.</w:t>
            </w:r>
          </w:p>
        </w:tc>
      </w:tr>
      <w:tr>
        <w:tc>
          <w:tcPr>
            <w:tcW w:type="dxa" w:w="4997"/>
          </w:tcPr>
          <w:p>
            <w:r>
              <w:t>Rent arrears</w:t>
            </w:r>
          </w:p>
        </w:tc>
        <w:tc>
          <w:tcPr>
            <w:tcW w:type="dxa" w:w="4997"/>
          </w:tcPr>
          <w:p>
            <w:r>
              <w:t>One month was prepaid; uncle later reports two days overdue. This constrains the open timeline, not an excuse to invent an exact missing interval.</w:t>
            </w:r>
          </w:p>
        </w:tc>
      </w:tr>
      <w:tr>
        <w:tc>
          <w:tcPr>
            <w:tcW w:type="dxa" w:w="4997"/>
          </w:tcPr>
          <w:p>
            <w:r>
              <w:t>Inheritance</w:t>
            </w:r>
          </w:p>
        </w:tc>
        <w:tc>
          <w:tcPr>
            <w:tcW w:type="dxa" w:w="4997"/>
          </w:tcPr>
          <w:p>
            <w:r>
              <w:t>Three days from submission to actual transfer. The day-before-yesterday poverty remark can refer to the waiting period.</w:t>
            </w:r>
          </w:p>
        </w:tc>
      </w:tr>
      <w:tr>
        <w:tc>
          <w:tcPr>
            <w:tcW w:type="dxa" w:w="4997"/>
          </w:tcPr>
          <w:p>
            <w:r>
              <w:t>Moonglow refinement</w:t>
            </w:r>
          </w:p>
        </w:tc>
        <w:tc>
          <w:tcPr>
            <w:tcW w:type="dxa" w:w="4997"/>
          </w:tcPr>
          <w:p>
            <w:r>
              <w:t>One day after the discussion: failure. Three days later: success after recovery.</w:t>
            </w:r>
          </w:p>
        </w:tc>
      </w:tr>
      <w:tr>
        <w:tc>
          <w:tcPr>
            <w:tcW w:type="dxa" w:w="4997"/>
          </w:tcPr>
          <w:p>
            <w:r>
              <w:t>Spring caravan</w:t>
            </w:r>
          </w:p>
        </w:tc>
        <w:tc>
          <w:tcPr>
            <w:tcW w:type="dxa" w:w="4997"/>
          </w:tcPr>
          <w:p>
            <w:r>
              <w:t>Winter gives way to spring; March arrival. Ceremony is day after tomorrow at reception, tomorrow in the shop conversation. Shopping may occur the next day, but the scene boundary is not explicit.</w:t>
            </w:r>
          </w:p>
        </w:tc>
      </w:tr>
    </w:tbl>
    <w:p>
      <w:r>
        <w:t xml:space="preserve">The last two-day/one-day expressions are </w:t>
      </w:r>
      <w:r>
        <w:rPr>
          <w:b/>
        </w:rPr>
        <w:t>not yet a compulsory correction</w:t>
      </w:r>
      <w:r>
        <w:t>. If later evidence confirms next-day shopping, a scene cue may suffice. Likewise, a fifth calendar day need not mean five complete 24-hour periods have elapsed.</w:t>
      </w:r>
    </w:p>
    <w:p>
      <w:pPr>
        <w:pStyle w:val="Heading1"/>
      </w:pPr>
      <w:r>
        <w:t>5. Resources and mechanics: what now reconciles</w:t>
      </w:r>
    </w:p>
    <w:p>
      <w:pPr>
        <w:pStyle w:val="Heading2"/>
      </w:pPr>
      <w:r>
        <w:t>Breakthrough does not change aptitude</w:t>
      </w:r>
    </w:p>
    <w:p>
      <w:r>
        <w:t>The ordinary 55% peak-essence threshold is explicitly qualified by exceptions. Fang Yuan has 44%, and succeeds through prolonged replenishment while maintaining pressure on the aperture wall. The text supplies the mechanism. Do not change 44 to 55 or erase the threshold.</w:t>
      </w:r>
    </w:p>
    <w:p>
      <w:pPr>
        <w:pStyle w:val="Heading2"/>
      </w:pPr>
      <w:r>
        <w:t>Inventory is consistent</w:t>
      </w:r>
    </w:p>
    <w:p>
      <w:r/>
      <w:r>
        <w:rPr>
          <w:b/>
        </w:rPr>
        <w:t>7 Gu→6 after White Jade fusion→7 after inheriting Nine-Leaf Vitality Grass.</w:t>
      </w:r>
      <w:r>
        <w:t xml:space="preserve"> OneLittle Light then dies in failed Moonglow refinement. A replacement is implied before the successful three-input recipe, but its purchase price is not supplied. Successful Moonglow fusion leaves five permanentGu, apart from produced leafGu inventory.</w:t>
      </w:r>
    </w:p>
    <w:p>
      <w:r>
        <w:t>Chapter 110 has not yet given Fang Yuan a secondLiquor Worm. It is still an auction prospect.</w:t>
      </w:r>
    </w:p>
    <w:p>
      <w:pPr>
        <w:pStyle w:val="Heading2"/>
      </w:pPr>
      <w:r>
        <w:t>Leaf production and sale are not the same account</w:t>
      </w:r>
    </w:p>
    <w:p>
      <w:r>
        <w:t>Each leaf requires 20 essence points to regrow, so nine require 180 points of cumulative expenditure. A 44-point reserve supports two before replenishment, not nine stored at once. This is throughput, not a 180% aperture.</w:t>
      </w:r>
    </w:p>
    <w:p>
      <w:r>
        <w:t>Nine leaves at 50 retail give 450 gross. The text reports more than 400 in earnings, but does not itemise production cost or Jiang Ya's margin. Chapter 107 distinguishes the clan's 55 retail price from Fang Yuan's 50 retail price. Do not assume the agent hands over exactly 450.</w:t>
      </w:r>
    </w:p>
    <w:p>
      <w:r>
        <w:t>White Jade consumes eight liang of jade every 20 days, compared with Jade Skin's two liang every 10 days. That doubles average jade consumption, not quadruples it. Pigfeeding ceases, but the narrator still says the combined market feeding cost rises. Self-sourced jade makes cash expenditure a separate question.</w:t>
      </w:r>
    </w:p>
    <w:p>
      <w:pPr>
        <w:pStyle w:val="Heading2"/>
      </w:pPr>
      <w:r>
        <w:t>Cash and assets</w:t>
      </w:r>
    </w:p>
    <w:p>
      <w:r>
        <w:t xml:space="preserve">The pre-inheritance cash low is explicitly </w:t>
      </w:r>
      <w:r>
        <w:rPr>
          <w:b/>
        </w:rPr>
        <w:t>2.5 stones</w:t>
      </w:r>
      <w:r>
        <w:t>. The uncle's 1000/2000/2500 settlement offers are refused. Inherited property includes over 10 mu of farmland, eight servants, three bamboo houses, a wine-shop and Nine-Leaf Vitality Grass. Its cash valuation is not given. The uncle has already withdrawn the shop's current-month receipts; those cannot be credited to Fang Yuan.</w:t>
      </w:r>
    </w:p>
    <w:p>
      <w:r>
        <w:t>The displayed Liquor Worm price is 500 against a stated normal 580. The 80 difference is real, but sealed bids determine the actual price. No purchase or bid outcome is claimed throughChapter 110.</w:t>
      </w:r>
    </w:p>
    <w:p>
      <w:pPr>
        <w:pStyle w:val="Heading1"/>
      </w:pPr>
      <w:r>
        <w:t>6. Safeguards against false corrections</w:t>
      </w:r>
    </w:p>
    <w:p>
      <w:pPr>
        <w:pStyle w:val="ListBullet"/>
      </w:pPr>
      <w:r>
        <w:t>Fang Yuan's accounts of the female team member entering the pig voluntarily, and of a bear providing the honey opportunity, are concealment, not neutral facts to harmonise with the action.</w:t>
      </w:r>
    </w:p>
    <w:p>
      <w:pPr>
        <w:pStyle w:val="ListBullet"/>
      </w:pPr>
      <w:r>
        <w:t>Jiao San is initially presumed dead, then observed moving, then killed. Preserve that sequence.</w:t>
      </w:r>
    </w:p>
    <w:p>
      <w:pPr>
        <w:pStyle w:val="ListBullet"/>
      </w:pPr>
      <w:r>
        <w:t>PermanentWhite Boar strength survives consumption of theGu in fusion. White Jade does not itself grant new strength.</w:t>
      </w:r>
    </w:p>
    <w:p>
      <w:pPr>
        <w:pStyle w:val="ListBullet"/>
      </w:pPr>
      <w:r>
        <w:t>The later sixteen-monkey estimate does not share identical cultivation conditions with the earlier twelve-monkey estimate. No automatic 16→12 correction.</w:t>
      </w:r>
    </w:p>
    <w:p>
      <w:pPr>
        <w:pStyle w:val="ListBullet"/>
      </w:pPr>
      <w:r>
        <w:t>TwoLittle Light recipe inputs do not stack two amplification bonuses before fusion.</w:t>
      </w:r>
    </w:p>
    <w:p>
      <w:pPr>
        <w:pStyle w:val="ListBullet"/>
      </w:pPr>
      <w:r>
        <w:t>Qing Shu's death is recalled from the former life. The proposed five-year right to use a higherLiquor Worm is an unaccepted conditional offer.</w:t>
      </w:r>
    </w:p>
    <w:p>
      <w:pPr>
        <w:pStyle w:val="ListBullet"/>
      </w:pPr>
      <w:r>
        <w:t>Onehundred-plus years of prior trading and one hundred-plus years stuck atRank Two need not be disjoint periods. Do not add them as consecutive blocks.</w:t>
      </w:r>
    </w:p>
    <w:p>
      <w:pPr>
        <w:pStyle w:val="ListBullet"/>
      </w:pPr>
      <w:r>
        <w:t>Ch 105's distant 108,000 li expression may be idiomatic. No geographical shrinkage or precise travel-time model is authorised by it alone.</w:t>
      </w:r>
    </w:p>
    <w:p>
      <w:pPr>
        <w:pStyle w:val="ListBullet"/>
      </w:pPr>
      <w:r>
        <w:t>The threatening 500-stone demand in the tavern is not a paid bill.</w:t>
      </w:r>
    </w:p>
    <w:p>
      <w:pPr>
        <w:pStyle w:val="Heading1"/>
      </w:pPr>
      <w:r>
        <w:t>7. Saved checkpoint</w:t>
      </w:r>
    </w:p>
    <w:p>
      <w:r>
        <w:t>The numbered source, four clean jotters, reading log, proposal ledger, chronology register, resource register and cumulative workbook are updated through 110. Only small metadata checkpoints were archived; no duplicate workspace backup was created.</w:t>
      </w:r>
    </w:p>
    <w:p>
      <w:r/>
      <w:r>
        <w:rPr>
          <w:b/>
        </w:rPr>
        <w:t>Next planned batch: Chapters 111–140. Next actual unread chapter:111.</w:t>
      </w:r>
      <w:r>
        <w:t xml:space="preserve"> No later topical knowledge has been counted as sequential completion.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CHAPTERS81–110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Chapters81–110</dc:title>
  <dc:subject>Thirty complete chapters; all emendations held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