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Sequential close-reading review: Chapters 161–180</w:t>
      </w:r>
    </w:p>
    <w:p>
      <w:pPr>
        <w:pStyle w:val="Heading1"/>
      </w:pPr>
      <w:r>
        <w:t>Batch 008 | The Omniarch</w:t>
      </w:r>
    </w:p>
    <w:p>
      <w:r/>
      <w:r>
        <w:rPr>
          <w:b/>
        </w:rPr>
        <w:t>Actual completed coverage: Chapters 1–180 of 2,334. Next unread:181. Remaining:2,154.</w:t>
      </w:r>
      <w:r/>
    </w:p>
    <w:p>
      <w:r>
        <w:t xml:space="preserve">Twenty complete chapters were read in ten untruncated two-chapter sequences: </w:t>
      </w:r>
      <w:r>
        <w:rPr>
          <w:b/>
        </w:rPr>
        <w:t>1,861 paragraphs / 62,666 source characters</w:t>
      </w:r>
      <w:r>
        <w:t xml:space="preserve">. Cumulative coverage is </w:t>
      </w:r>
      <w:r>
        <w:rPr>
          <w:b/>
        </w:rPr>
        <w:t>15,028 paragraphs / 543,457 characters</w:t>
      </w:r>
      <w:r>
        <w:t>. Extraction and earlier topical searches are not counted as sequential reading.</w:t>
      </w:r>
    </w:p>
    <w:p>
      <w:r>
        <w:t xml:space="preserve">The ledger now contains </w:t>
      </w:r>
      <w:r>
        <w:rPr>
          <w:b/>
        </w:rPr>
        <w:t>84 proposal records:83 active and held, one withdrawn</w:t>
      </w:r>
      <w:r>
        <w:t>. Eleven records are new; SR-084 contains 64 separately located copy-edit candidates. Nothing is approved or applied. This remains Chinese-source review, not a fresh bilingual or live-site audit.</w:t>
      </w:r>
    </w:p>
    <w:p>
      <w:pPr>
        <w:pStyle w:val="Heading1"/>
      </w:pPr>
      <w:r>
        <w:t>1. We can stabilise working standards without stopping the whole-novel review</w:t>
      </w:r>
    </w:p>
    <w:p>
      <w:r>
        <w:t>This batch supports a distinction between:</w:t>
      </w:r>
    </w:p>
    <w:p>
      <w:pPr>
        <w:pStyle w:val="ListBullet"/>
      </w:pPr>
      <w:r/>
      <w:r>
        <w:rPr>
          <w:b/>
        </w:rPr>
        <w:t>Established review methods:</w:t>
      </w:r>
      <w:r>
        <w:t xml:space="preserve"> separating claims from events, keeping precise source locations, distinguishing proposals from approvals, and not turning estimates into payments.</w:t>
      </w:r>
    </w:p>
    <w:p>
      <w:pPr>
        <w:pStyle w:val="ListBullet"/>
      </w:pPr>
      <w:r/>
      <w:r>
        <w:rPr>
          <w:b/>
        </w:rPr>
        <w:t>Strong working story mechanics:</w:t>
      </w:r>
      <w:r>
        <w:t xml:space="preserve"> the 42% capacity after the explicit loss, distinct revolution/stage/essence quality, and possession versus refinement.</w:t>
      </w:r>
    </w:p>
    <w:p>
      <w:pPr>
        <w:pStyle w:val="ListBullet"/>
      </w:pPr>
      <w:r/>
      <w:r>
        <w:rPr>
          <w:b/>
        </w:rPr>
        <w:t>Unresolved global rules:</w:t>
      </w:r>
      <w:r>
        <w:t xml:space="preserve"> calendar and seasonal mapping, some ages, range scaling, inheritance law and historical chronology.</w:t>
      </w:r>
    </w:p>
    <w:p>
      <w:r>
        <w:t xml:space="preserve">The new </w:t>
      </w:r>
      <w:r>
        <w:rPr>
          <w:b/>
        </w:rPr>
        <w:t>WORKING-STANDARDS.md</w:t>
      </w:r>
      <w:r>
        <w:t xml:space="preserve"> and matching JSON register record ten standards with evidence and reopening triggers. None is presented as whole-novel factual certification. A well-supported standard can guide the current work while later evidence remains capable of changing it.</w:t>
      </w:r>
    </w:p>
    <w:p>
      <w:r>
        <w:t>Completing one volume would not fulfil the requested 2334-chapter review. Nor will finishing the reading automatically authorise applying the proposals.</w:t>
      </w:r>
    </w:p>
    <w:p>
      <w:pPr>
        <w:pStyle w:val="Heading1"/>
      </w:pPr>
      <w:r>
        <w:t>2. Three apparent facts are explicitly reversed or qualified</w:t>
      </w:r>
    </w:p>
    <w:p>
      <w:pPr>
        <w:pStyle w:val="Heading2"/>
      </w:pPr>
      <w:r>
        <w:t>The Xiong clan was not simply annihilated</w:t>
      </w:r>
    </w:p>
    <w:p>
      <w:r>
        <w:t>The newly encountered wolf king leads the characters to infer that Xiong Village has fallen. Chapter 175 then supplies survivors and an explanation:</w:t>
      </w:r>
    </w:p>
    <w:p>
      <w:pPr>
        <w:pStyle w:val="Quote"/>
      </w:pPr>
      <w:r>
        <w:t>“熊家寨还有大量的幸存者。”</w:t>
      </w:r>
    </w:p>
    <w:p>
      <w:pPr>
        <w:pStyle w:val="Quote"/>
      </w:pPr>
      <w:r>
        <w:t>“他们是主动撤离的，利用了先祖留下的一只蛊，同时隐去了许多人的身形，瞒天过海了！”</w:t>
      </w:r>
    </w:p>
    <w:p>
      <w:r>
        <w:t>Preserve the earlier inference as an inference. Do not change every earlier “destroyed” statement into a contradiction or treat the survivors as a resurrection.</w:t>
      </w:r>
    </w:p>
    <w:p>
      <w:r>
        <w:t>The same sequence first suggests a fourth Thunder Crown Wolf. Chapter 168 identifies a Lightning Lycan instead. Its short forelegs are its anatomy, not a confirmed injury merely because an observer initially interpreted them that way.</w:t>
      </w:r>
    </w:p>
    <w:p>
      <w:pPr>
        <w:pStyle w:val="Heading2"/>
      </w:pPr>
      <w:r>
        <w:t>The white snake has not accepted Bai Ning Bing as an heir</w:t>
      </w:r>
    </w:p>
    <w:p>
      <w:r>
        <w:t>Chapter 173’s clan leader infers recognition when the snake enters Bai’s aperture. Chapter 178 explains the actual relationship:</w:t>
      </w:r>
    </w:p>
    <w:p>
      <w:pPr>
        <w:pStyle w:val="Quote"/>
      </w:pPr>
      <w:r>
        <w:t>白凝冰摇了摇头：“这蛇蛊并没有承认我，只是被我北冥冰魄体的气息吸引，将家从元泉搬到我的空窍里面。只有当我身处险境，有性命之危时，它才会出来守护我。”</w:t>
      </w:r>
    </w:p>
    <w:p>
      <w:pPr>
        <w:pStyle w:val="Quote"/>
      </w:pPr>
      <w:r>
        <w:t>但白相仙蛇并没有被白凝冰炼化，因此这种守护效果，也极为有限。</w:t>
      </w:r>
    </w:p>
    <w:p>
      <w:r>
        <w:t>It is attracted to his physique, lives in his aperture, and protects him imperfectly. It is not refined, and its arrival does not confirm inheritance approval. This strongly supports the possession/control distinction in the working standards.</w:t>
      </w:r>
    </w:p>
    <w:p>
      <w:r>
        <w:t>Bai’s right arm also genuinely regrows in 178 through his developed physique. This is distinct from the earlier false fracture, the later real amputation, and any Gu sacrifice. Frost Demon Gu has not thereby returned.</w:t>
      </w:r>
    </w:p>
    <w:p>
      <w:pPr>
        <w:pStyle w:val="Heading2"/>
      </w:pPr>
      <w:r>
        <w:t>The official history is intentionally false</w:t>
      </w:r>
    </w:p>
    <w:p>
      <w:r>
        <w:t>Chapter 179’s public history says Flower Wine Wanderer was killed on the spot. Chapter 180 explicitly distinguishes public history from secret history:</w:t>
      </w:r>
    </w:p>
    <w:p>
      <w:pPr>
        <w:pStyle w:val="Quote"/>
      </w:pPr>
      <w:r>
        <w:t>正史收藏在地下溶洞的密室中，内容被后人粉饰遮掩，真真假假，掩人耳目。</w:t>
      </w:r>
    </w:p>
    <w:p>
      <w:r>
        <w:t>The reader has already seen evidence inconsistent with the public version. That is the point of the scene, not a defect to harmonise. Likewise, Fang Yuan’s earlier reconstruction of the Lotus’s history is not a newly authenticated record of every past event.</w:t>
      </w:r>
    </w:p>
    <w:p>
      <w:pPr>
        <w:pStyle w:val="Heading1"/>
      </w:pPr>
      <w:r>
        <w:t>3. The investigator arrives early, not on a fixed promised date</w:t>
      </w:r>
    </w:p>
    <w:p>
      <w:r>
        <w:t>Chapter 113 forecast the year after next. The current arrival happens sooner, and 172 acknowledges it:</w:t>
      </w:r>
    </w:p>
    <w:p>
      <w:pPr>
        <w:pStyle w:val="Quote"/>
      </w:pPr>
      <w:r>
        <w:t>“现在最关键的，还是铁家父女。真是该死，居然比我预料中来得更快。狼潮还未退去，他们就到了。哼，不过这样的举止行径，倒是符合铁血冷嫉恶如仇，奋不顾身的性情。”</w:t>
      </w:r>
    </w:p>
    <w:p>
      <w:r>
        <w:t>This is stronger evidence for retaining the earlier statement as a forecast than for mechanically changing its wording. Exact scheduling, prediction and actual arrival must remain separate.</w:t>
      </w:r>
    </w:p>
    <w:p>
      <w:r>
        <w:t>The wolf tide also has phases. The most dangerous assault ends, but 171–172 still expect smaller groups for months and their near-disappearance toward year’s end. “The crisis has been weathered” is not the same as “every wolf has gone.” It does not by itself refute an earlier forecast of a year-long tide.</w:t>
      </w:r>
    </w:p>
    <w:p>
      <w:r>
        <w:t>Chapter 170’s “all elders” death statement is local to those remaining on that battlefield. The surviving elders at 171’s banquet do not contradict it. Chi Lian’s death is now confirmed; Mo Chen avoided that pursuit after being injured two weeks earlier.</w:t>
      </w:r>
    </w:p>
    <w:p>
      <w:pPr>
        <w:pStyle w:val="Heading1"/>
      </w:pPr>
      <w:r>
        <w:t>4. Expedition clock: do not silently turn时辰 into hours</w:t>
      </w:r>
    </w:p>
    <w:p>
      <w:r>
        <w:t>Chapter 162 supplies three separate durations: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Activity</w:t>
            </w:r>
          </w:p>
        </w:tc>
        <w:tc>
          <w:tcPr>
            <w:tcW w:type="dxa" w:w="3331"/>
          </w:tcPr>
          <w:p>
            <w:r>
              <w:t>Source duration</w:t>
            </w:r>
          </w:p>
        </w:tc>
        <w:tc>
          <w:tcPr>
            <w:tcW w:type="dxa" w:w="3331"/>
          </w:tcPr>
          <w:p>
            <w:r>
              <w:t>Conventional equivalent</w:t>
            </w:r>
          </w:p>
        </w:tc>
      </w:tr>
      <w:tr>
        <w:tc>
          <w:tcPr>
            <w:tcW w:type="dxa" w:w="3331"/>
          </w:tcPr>
          <w:p>
            <w:r>
              <w:t>Reopening the monkey route</w:t>
            </w:r>
          </w:p>
        </w:tc>
        <w:tc>
          <w:tcPr>
            <w:tcW w:type="dxa" w:w="3331"/>
          </w:tcPr>
          <w:p>
            <w:r>
              <w:t>三个时辰</w:t>
            </w:r>
          </w:p>
        </w:tc>
        <w:tc>
          <w:tcPr>
            <w:tcW w:type="dxa" w:w="3331"/>
          </w:tcPr>
          <w:p>
            <w:r>
              <w:t>About 6 hours</w:t>
            </w:r>
          </w:p>
        </w:tc>
      </w:tr>
      <w:tr>
        <w:tc>
          <w:tcPr>
            <w:tcW w:type="dxa" w:w="3331"/>
          </w:tcPr>
          <w:p>
            <w:r>
              <w:t>Exploring the dead-end branch</w:t>
            </w:r>
          </w:p>
        </w:tc>
        <w:tc>
          <w:tcPr>
            <w:tcW w:type="dxa" w:w="3331"/>
          </w:tcPr>
          <w:p>
            <w:r>
              <w:t>半个小时</w:t>
            </w:r>
          </w:p>
        </w:tc>
        <w:tc>
          <w:tcPr>
            <w:tcW w:type="dxa" w:w="3331"/>
          </w:tcPr>
          <w:p>
            <w:r>
              <w:t>30 minutes</w:t>
            </w:r>
          </w:p>
        </w:tc>
      </w:tr>
      <w:tr>
        <w:tc>
          <w:tcPr>
            <w:tcW w:type="dxa" w:w="3331"/>
          </w:tcPr>
          <w:p>
            <w:r>
              <w:t>Exploring the longer passage</w:t>
            </w:r>
          </w:p>
        </w:tc>
        <w:tc>
          <w:tcPr>
            <w:tcW w:type="dxa" w:w="3331"/>
          </w:tcPr>
          <w:p>
            <w:r>
              <w:t>六个多时辰</w:t>
            </w:r>
          </w:p>
        </w:tc>
        <w:tc>
          <w:tcPr>
            <w:tcW w:type="dxa" w:w="3331"/>
          </w:tcPr>
          <w:p>
            <w:r>
              <w:t>More than 12 hours</w:t>
            </w:r>
          </w:p>
        </w:tc>
      </w:tr>
    </w:tbl>
    <w:p>
      <w:r>
        <w:t>These alone exceed 18.5 hours, before retracing, Lotus inspection and the final return. Chapter 163 says:</w:t>
      </w:r>
    </w:p>
    <w:p>
      <w:pPr>
        <w:pStyle w:val="Quote"/>
      </w:pPr>
      <w:r>
        <w:t>此时凌晨，天空蒙蒙亮。</w:t>
      </w:r>
    </w:p>
    <w:p>
      <w:r/>
      <w:r>
        <w:rPr>
          <w:b/>
        </w:rPr>
        <w:t>SR-083:</w:t>
      </w:r>
      <w:r>
        <w:t xml:space="preserve"> translate this as “It was dawn,” not automatically “the next morning.” The Chinese does not supply that next-day claim. A later dawn and an unquantified return interval can accommodate the stated durations; the exact elapsed total remains open.</w:t>
      </w:r>
    </w:p>
    <w:p>
      <w:r>
        <w:t>Do not repair the apparent overnight pressure by halving时辰, shrinking the passage, or inventing a precisely 36-hour expedition.</w:t>
      </w:r>
    </w:p>
    <w:p>
      <w:pPr>
        <w:pStyle w:val="Heading1"/>
      </w:pPr>
      <w:r>
        <w:t>5. Two range questions remain conditional</w:t>
      </w:r>
    </w:p>
    <w:p>
      <w:pPr>
        <w:pStyle w:val="Heading2"/>
      </w:pPr>
      <w:r>
        <w:t>Hundred-li lightning path</w:t>
      </w:r>
    </w:p>
    <w:p>
      <w:r>
        <w:t>Chapter 168 describes a hundred-li smoke extent and then a lightning strike crossing a hundred-li distance toward Fang Yuan. Yet he has only just begun escaping the same battlefield.</w:t>
      </w:r>
    </w:p>
    <w:p>
      <w:r/>
      <w:r>
        <w:rPr>
          <w:b/>
        </w:rPr>
        <w:t>SR-080, held:</w:t>
      </w:r>
      <w:r>
        <w:t xml:space="preserve"> “tore through the dense smoke” is a minimal candidate for the strike’s path if later staging confirms a nearby target. It is not a claim that Revolution Four lightning cannot possess a hundred-li range. The smoke extent is a separate assertion and is not automatically reduced.</w:t>
      </w:r>
    </w:p>
    <w:p>
      <w:pPr>
        <w:pStyle w:val="Heading2"/>
      </w:pPr>
      <w:r>
        <w:t>Earth Hearing Flesh Ear Grass:200 versus 300 paces</w:t>
      </w:r>
    </w:p>
    <w:p>
      <w:r>
        <w:t>Earlier passages give a 300-pace rooted maximum and a smaller unrooted range. Chapter 169 says:</w:t>
      </w:r>
    </w:p>
    <w:p>
      <w:pPr>
        <w:pStyle w:val="Quote"/>
      </w:pPr>
      <w:r>
        <w:t>周围都是声音，地听肉耳草能侦测达两百步，但方源却只能随波逐流。他视野太狭小，只能看清楚身边的一株树，一块山石，没有参照物对比，无法分辨方向。</w:t>
      </w:r>
    </w:p>
    <w:p>
      <w:r>
        <w:t>A later action in the same scene separately roots the grass. CurrentRank Three cultivation and effective working conditions complicate the comparison.</w:t>
      </w:r>
    </w:p>
    <w:p>
      <w:r/>
      <w:r>
        <w:rPr>
          <w:b/>
        </w:rPr>
        <w:t>SR-081, held:</w:t>
      </w:r>
      <w:r>
        <w:t>300 is a candidate only if the passage means the previously stated fully rooted maximum. If 200 is a practical operating range, clarify that condition instead. I am not treating 300 as unconditional in every mode.</w:t>
      </w:r>
    </w:p>
    <w:p>
      <w:r>
        <w:t>Bai’s Electric Eye is much clearer here:50 paces normally,30 in the smoke. Smoke reduces its vision; it does not make it see through solid terrain.</w:t>
      </w:r>
    </w:p>
    <w:p>
      <w:pPr>
        <w:pStyle w:val="Heading1"/>
      </w:pPr>
      <w:r>
        <w:t>6. Resource accounting and the unfinished Lotus acquisition</w:t>
      </w:r>
    </w:p>
    <w:p>
      <w:pPr>
        <w:pStyle w:val="Heading2"/>
      </w:pPr>
      <w:r>
        <w:t>Cash and carrying capacity are different</w:t>
      </w:r>
    </w:p>
    <w:p>
      <w:r>
        <w:t xml:space="preserve">The banquet yields </w:t>
      </w:r>
      <w:r>
        <w:rPr>
          <w:b/>
        </w:rPr>
        <w:t>nearly 10000 stones</w:t>
      </w:r>
      <w:r>
        <w:t>, not exactly 10000. Tushita Flower can hold 30000 stones if used for that purpose; Fang Yuan budgets 15000 when reserving space for food and other goods. These are not contradictory capacities.</w:t>
      </w:r>
    </w:p>
    <w:p>
      <w:r>
        <w:t>He then estimates that restoring the Lotus’s missing half-leaf will require 50000-plus stones. More than 500 have only produced slight growth; he has 10000-plus and describes a roughly 40000 gap. Those rounded amounts do not establish a subtraction error.</w:t>
      </w:r>
    </w:p>
    <w:p>
      <w:r>
        <w:t xml:space="preserve">By 180, the 40000 advance has actually arrived in instalments. His aggregate funds may exceed the flower’s absolute capacity, but the text has </w:t>
      </w:r>
      <w:r>
        <w:rPr>
          <w:b/>
        </w:rPr>
        <w:t>not yet said all those funds are packed inside it</w:t>
      </w:r>
      <w:r>
        <w:t>. This is a transport question to carry forward, not a proved contradiction at the endpoint.</w:t>
      </w:r>
    </w:p>
    <w:p>
      <w:pPr>
        <w:pStyle w:val="Heading2"/>
      </w:pPr>
      <w:r>
        <w:t>Marriage bargaining is not a completed marriage</w:t>
      </w:r>
    </w:p>
    <w:p>
      <w:r>
        <w:t>The initial demand is 100000 stones plus ten rare Gu of at leastRank Three. The later 30% concession suggests 70000 for the cash component if that is its scope; it does not establish a precisely discounted seven-Gu package. The 40000 is an advance, not an extra full payment on top.</w:t>
      </w:r>
    </w:p>
    <w:p>
      <w:r>
        <w:t>Pig Iron Gu is delivered and consumed to repair the centipede. The requested healing grass is not delivered. No completed marriage is narrated.</w:t>
      </w:r>
    </w:p>
    <w:p>
      <w:pPr>
        <w:pStyle w:val="Heading2"/>
      </w:pPr>
      <w:r>
        <w:t>Acquisition and loss ledger</w:t>
      </w:r>
    </w:p>
    <w:tbl>
      <w:tblPr>
        <w:tblStyle w:val="LightShading-Accent1"/>
        <w:tblW w:type="auto" w:w="0"/>
        <w:tblLook w:firstColumn="1" w:firstRow="1" w:lastColumn="0" w:lastRow="0" w:noHBand="0" w:noVBand="1" w:val="04A0"/>
      </w:tblPr>
      <w:tblGrid>
        <w:gridCol w:w="4997"/>
        <w:gridCol w:w="4997"/>
      </w:tblGrid>
      <w:tr>
        <w:tc>
          <w:tcPr>
            <w:tcW w:type="dxa" w:w="4997"/>
          </w:tcPr>
          <w:p>
            <w:r>
              <w:t>Item</w:t>
            </w:r>
          </w:p>
        </w:tc>
        <w:tc>
          <w:tcPr>
            <w:tcW w:type="dxa" w:w="4997"/>
          </w:tcPr>
          <w:p>
            <w:r>
              <w:t>Confirmed status through 180</w:t>
            </w:r>
          </w:p>
        </w:tc>
      </w:tr>
      <w:tr>
        <w:tc>
          <w:tcPr>
            <w:tcW w:type="dxa" w:w="4997"/>
          </w:tcPr>
          <w:p>
            <w:r>
              <w:t>Chainsaw Golden Centipede</w:t>
            </w:r>
          </w:p>
        </w:tc>
        <w:tc>
          <w:tcPr>
            <w:tcW w:type="dxa" w:w="4997"/>
          </w:tcPr>
          <w:p>
            <w:r>
              <w:t>Captured and refined in 162; mostly repaired with Pig Iron in 177</w:t>
            </w:r>
          </w:p>
        </w:tc>
      </w:tr>
      <w:tr>
        <w:tc>
          <w:tcPr>
            <w:tcW w:type="dxa" w:w="4997"/>
          </w:tcPr>
          <w:p>
            <w:r>
              <w:t>Thunder Shield Gu</w:t>
            </w:r>
          </w:p>
        </w:tc>
        <w:tc>
          <w:tcPr>
            <w:tcW w:type="dxa" w:w="4997"/>
          </w:tcPr>
          <w:p>
            <w:r>
              <w:t>Captured in 167; destroyed in 168</w:t>
            </w:r>
          </w:p>
        </w:tc>
      </w:tr>
      <w:tr>
        <w:tc>
          <w:tcPr>
            <w:tcW w:type="dxa" w:w="4997"/>
          </w:tcPr>
          <w:p>
            <w:r>
              <w:t>Lightning Wings Gu</w:t>
            </w:r>
          </w:p>
        </w:tc>
        <w:tc>
          <w:tcPr>
            <w:tcW w:type="dxa" w:w="4997"/>
          </w:tcPr>
          <w:p>
            <w:r>
              <w:t>Badly injured; still unusable at 170, not declared dead</w:t>
            </w:r>
          </w:p>
        </w:tc>
      </w:tr>
      <w:tr>
        <w:tc>
          <w:tcPr>
            <w:tcW w:type="dxa" w:w="4997"/>
          </w:tcPr>
          <w:p>
            <w:r>
              <w:t>Sky Canopy Gu</w:t>
            </w:r>
          </w:p>
        </w:tc>
        <w:tc>
          <w:tcPr>
            <w:tcW w:type="dxa" w:w="4997"/>
          </w:tcPr>
          <w:p>
            <w:r>
              <w:t>Injured, not destroyed</w:t>
            </w:r>
          </w:p>
        </w:tc>
      </w:tr>
      <w:tr>
        <w:tc>
          <w:tcPr>
            <w:tcW w:type="dxa" w:w="4997"/>
          </w:tcPr>
          <w:p>
            <w:r>
              <w:t>White Form Immortal Snake</w:t>
            </w:r>
          </w:p>
        </w:tc>
        <w:tc>
          <w:tcPr>
            <w:tcW w:type="dxa" w:w="4997"/>
          </w:tcPr>
          <w:p>
            <w:r>
              <w:t>In Bai’s aperture but unrefined; not Fang Yuan’s property</w:t>
            </w:r>
          </w:p>
        </w:tc>
      </w:tr>
      <w:tr>
        <w:tc>
          <w:tcPr>
            <w:tcW w:type="dxa" w:w="4997"/>
          </w:tcPr>
          <w:p>
            <w:r>
              <w:t>Heavenly Essence Treasure Lotus</w:t>
            </w:r>
          </w:p>
        </w:tc>
        <w:tc>
          <w:tcPr>
            <w:tcW w:type="dxa" w:w="4997"/>
          </w:tcPr>
          <w:p>
            <w:r>
              <w:t xml:space="preserve">Observed and partially fed; </w:t>
            </w:r>
            <w:r>
              <w:rPr>
                <w:b/>
              </w:rPr>
              <w:t>not acquired</w:t>
            </w:r>
            <w:r>
              <w:t xml:space="preserve"> by 180</w:t>
            </w:r>
          </w:p>
        </w:tc>
      </w:tr>
      <w:tr>
        <w:tc>
          <w:tcPr>
            <w:tcW w:type="dxa" w:w="4997"/>
          </w:tcPr>
          <w:p>
            <w:r>
              <w:t>Healing grass requested from Mo Chen</w:t>
            </w:r>
          </w:p>
        </w:tc>
        <w:tc>
          <w:tcPr>
            <w:tcW w:type="dxa" w:w="4997"/>
          </w:tcPr>
          <w:p>
            <w:r>
              <w:t>Still undelivered</w:t>
            </w:r>
          </w:p>
        </w:tc>
      </w:tr>
    </w:tbl>
    <w:p>
      <w:r>
        <w:t>Pig Iron heals the centipede specifically. It does not establish that Fang Yuan’s wounds or Lightning Wings have also been healed. The remaining five or six shallow centipede marks are expected to heal over weeks; without the treatment, replacement of all its damaged teeth would take more than half a year.</w:t>
      </w:r>
    </w:p>
    <w:p>
      <w:pPr>
        <w:pStyle w:val="Heading1"/>
      </w:pPr>
      <w:r>
        <w:t>7. Aptitude and evidence-generating Gu</w:t>
      </w:r>
    </w:p>
    <w:p>
      <w:r>
        <w:t>Chapter 162 and 167 preserve Fang Yuan’s 42% capacity. The later 40 points are current reserves after expenditure, not another aptitude reduction.</w:t>
      </w:r>
    </w:p>
    <w:p>
      <w:r>
        <w:t>Bai’s history is independently important:</w:t>
      </w:r>
    </w:p>
    <w:p>
      <w:pPr>
        <w:pStyle w:val="Quote"/>
      </w:pPr>
      <w:r>
        <w:t>“的确是这样。但是在修行过程当中，忽然有一天，就晋升了资质。我查阅了族中典籍，书上也记录了这种情况。九成九的甲等资质，都会有可能在修行中，成为十绝资质。”白凝冰道。</w:t>
      </w:r>
    </w:p>
    <w:p>
      <w:r>
        <w:t xml:space="preserve">His original 99% Grade A developed into the Ten Extreme physique. This supports a </w:t>
      </w:r>
      <w:r>
        <w:rPr>
          <w:b/>
        </w:rPr>
        <w:t>mutable aptitude</w:t>
      </w:r>
      <w:r>
        <w:t xml:space="preserve"> model where a stated mechanism changes it, not a global assumption that all aptitude is fixed or that all Grade A must reach 100%.</w:t>
      </w:r>
    </w:p>
    <w:p>
      <w:r>
        <w:t>The investigation also demonstrates fallible evidence tools. Divine Pointer works from the planter’s known clues; it is not an omniscient oracle. Chi Cheng’s cheating is corroborated, but the resulting claim that Chi Lian supplied the original Liquor Worm remains an incorrect hypothesis.</w:t>
      </w:r>
    </w:p>
    <w:p>
      <w:r>
        <w:t>The six stones bought and five opened on the spot match Chapters 40–43. There is no count repair to make. The supposed Liquor Worm discovery is Fang Yuan’s alibi, not an actual second Gu found by gambling.</w:t>
      </w:r>
    </w:p>
    <w:p>
      <w:r>
        <w:t>Fang Zheng’s later account of drunkenness is his mistaken interpretation. It does not retroactively require translating the opening买醉 as drinking oneself insensible.</w:t>
      </w:r>
    </w:p>
    <w:p>
      <w:pPr>
        <w:pStyle w:val="Heading1"/>
      </w:pPr>
      <w:r>
        <w:t>8. Strong local corrections, still held</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Record</w:t>
            </w:r>
          </w:p>
        </w:tc>
        <w:tc>
          <w:tcPr>
            <w:tcW w:type="dxa" w:w="3331"/>
          </w:tcPr>
          <w:p>
            <w:r>
              <w:t>Location</w:t>
            </w:r>
          </w:p>
        </w:tc>
        <w:tc>
          <w:tcPr>
            <w:tcW w:type="dxa" w:w="3331"/>
          </w:tcPr>
          <w:p>
            <w:r>
              <w:t>Candidate</w:t>
            </w:r>
          </w:p>
        </w:tc>
      </w:tr>
      <w:tr>
        <w:tc>
          <w:tcPr>
            <w:tcW w:type="dxa" w:w="3331"/>
          </w:tcPr>
          <w:p>
            <w:r>
              <w:t>SR-074</w:t>
            </w:r>
          </w:p>
        </w:tc>
        <w:tc>
          <w:tcPr>
            <w:tcW w:type="dxa" w:w="3331"/>
          </w:tcPr>
          <w:p>
            <w:r>
              <w:t>164 p 5</w:t>
            </w:r>
          </w:p>
        </w:tc>
        <w:tc>
          <w:tcPr>
            <w:tcW w:type="dxa" w:w="3331"/>
          </w:tcPr>
          <w:p>
            <w:r>
              <w:t>雷光头狼→雷冠头狼</w:t>
            </w:r>
          </w:p>
        </w:tc>
      </w:tr>
      <w:tr>
        <w:tc>
          <w:tcPr>
            <w:tcW w:type="dxa" w:w="3331"/>
          </w:tcPr>
          <w:p>
            <w:r>
              <w:t>SR-075</w:t>
            </w:r>
          </w:p>
        </w:tc>
        <w:tc>
          <w:tcPr>
            <w:tcW w:type="dxa" w:w="3331"/>
          </w:tcPr>
          <w:p>
            <w:r>
              <w:t>167 p 70</w:t>
            </w:r>
          </w:p>
        </w:tc>
        <w:tc>
          <w:tcPr>
            <w:tcW w:type="dxa" w:w="3331"/>
          </w:tcPr>
          <w:p>
            <w:r>
              <w:t>雷壳蛊→雷盾蛊</w:t>
            </w:r>
          </w:p>
        </w:tc>
      </w:tr>
      <w:tr>
        <w:tc>
          <w:tcPr>
            <w:tcW w:type="dxa" w:w="3331"/>
          </w:tcPr>
          <w:p>
            <w:r>
              <w:t>SR-076</w:t>
            </w:r>
          </w:p>
        </w:tc>
        <w:tc>
          <w:tcPr>
            <w:tcW w:type="dxa" w:w="3331"/>
          </w:tcPr>
          <w:p>
            <w:r>
              <w:t>165 p 71</w:t>
            </w:r>
          </w:p>
        </w:tc>
        <w:tc>
          <w:tcPr>
            <w:tcW w:type="dxa" w:w="3331"/>
          </w:tcPr>
          <w:p>
            <w:r>
              <w:t>药钟→赤钟, strongly supported by the retained-official pairing and 171’s survivors</w:t>
            </w:r>
          </w:p>
        </w:tc>
      </w:tr>
      <w:tr>
        <w:tc>
          <w:tcPr>
            <w:tcW w:type="dxa" w:w="3331"/>
          </w:tcPr>
          <w:p>
            <w:r>
              <w:t>SR-077</w:t>
            </w:r>
          </w:p>
        </w:tc>
        <w:tc>
          <w:tcPr>
            <w:tcW w:type="dxa" w:w="3331"/>
          </w:tcPr>
          <w:p>
            <w:r>
              <w:t>172 pp 70,77</w:t>
            </w:r>
          </w:p>
        </w:tc>
        <w:tc>
          <w:tcPr>
            <w:tcW w:type="dxa" w:w="3331"/>
          </w:tcPr>
          <w:p>
            <w:r>
              <w:t>赤脉→漠脉 in theMo courtyard andMo succession discussion</w:t>
            </w:r>
          </w:p>
        </w:tc>
      </w:tr>
      <w:tr>
        <w:tc>
          <w:tcPr>
            <w:tcW w:type="dxa" w:w="3331"/>
          </w:tcPr>
          <w:p>
            <w:r>
              <w:t>SR-078</w:t>
            </w:r>
          </w:p>
        </w:tc>
        <w:tc>
          <w:tcPr>
            <w:tcW w:type="dxa" w:w="3331"/>
          </w:tcPr>
          <w:p>
            <w:r>
              <w:t>175 p 67</w:t>
            </w:r>
          </w:p>
        </w:tc>
        <w:tc>
          <w:tcPr>
            <w:tcW w:type="dxa" w:w="3331"/>
          </w:tcPr>
          <w:p>
            <w:r>
              <w:t>方正滥杀→方源滥杀</w:t>
            </w:r>
          </w:p>
        </w:tc>
      </w:tr>
      <w:tr>
        <w:tc>
          <w:tcPr>
            <w:tcW w:type="dxa" w:w="3331"/>
          </w:tcPr>
          <w:p>
            <w:r>
              <w:t>SR-079</w:t>
            </w:r>
          </w:p>
        </w:tc>
        <w:tc>
          <w:tcPr>
            <w:tcW w:type="dxa" w:w="3331"/>
          </w:tcPr>
          <w:p>
            <w:r>
              <w:t>178 p 51</w:t>
            </w:r>
          </w:p>
        </w:tc>
        <w:tc>
          <w:tcPr>
            <w:tcW w:type="dxa" w:w="3331"/>
          </w:tcPr>
          <w:p>
            <w:r>
              <w:t>Father’s speech attributed to铁血冷, not铁若男</w:t>
            </w:r>
          </w:p>
        </w:tc>
      </w:tr>
    </w:tbl>
    <w:p>
      <w:r>
        <w:t>The Continuity jotter gives the exact passages, rationale, confidence, dependencies and publication status. SR-084 adds 64 individually listed copy candidates, not a global search-and-replace instruction.</w:t>
      </w:r>
    </w:p>
    <w:p>
      <w:r>
        <w:t>SR-082 remains a lower-confidence scope query:172’s male-line inheritance language needs reconciliation with Yao Le’s stated role as a future branch successor. Hereditary property, independently established property, office and political leadership may have different rules. That distinction must be demonstrated, not invented to smooth over the passages.</w:t>
      </w:r>
    </w:p>
    <w:p>
      <w:pPr>
        <w:pStyle w:val="Heading1"/>
      </w:pPr>
      <w:r>
        <w:t>9. Endpoint and saved checkpoint</w:t>
      </w:r>
    </w:p>
    <w:p>
      <w:r>
        <w:t xml:space="preserve">At 180, the clan leader has secured a delay so Fang Yuan can participate in the tournament scheduled for the day after tomorrow. The tournament has not happened. The awakening on the wall is a </w:t>
      </w:r>
      <w:r>
        <w:rPr>
          <w:b/>
        </w:rPr>
        <w:t>recording of the original ceremony</w:t>
      </w:r>
      <w:r>
        <w:t>, not a new present event. Tie Ruo Nan’s final hypothesis remains unrevealed at this endpoint.</w:t>
      </w:r>
    </w:p>
    <w:p>
      <w:r>
        <w:t>Fang Yuan has received the 40000 advance and leaves to act on his Lotus plan. He has not yet picked or refined it.</w:t>
      </w:r>
    </w:p>
    <w:p>
      <w:r>
        <w:t xml:space="preserve">Saved: numbered Chinese source, four jotters, reading log,84-record proposal ledger, </w:t>
      </w:r>
      <w:r>
        <w:rPr>
          <w:b/>
        </w:rPr>
        <w:t>129 chronology entries</w:t>
      </w:r>
      <w:r>
        <w:t xml:space="preserve">, </w:t>
      </w:r>
      <w:r>
        <w:rPr>
          <w:b/>
        </w:rPr>
        <w:t>72 resource entries</w:t>
      </w:r>
      <w:r>
        <w:t>, updated workbook and the new working-standards register.</w:t>
      </w:r>
    </w:p>
    <w:p>
      <w:r/>
      <w:r>
        <w:rPr>
          <w:b/>
        </w:rPr>
        <w:t>Next actual unread:181. Next planned batch:181–200.</w:t>
      </w:r>
      <w:r>
        <w:t xml:space="preserve"> No source, site or repository edits, uploads or deletions occurred. Remote research backup remains unresolved. We continue beyond any locally stabilised standard or single-volume milestone.</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SEQUENTIAL REVIEW / CHAPTERS161–180  /  THE OMNIARCH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Omniarch: Sequential Review, Chapters161–180</dc:title>
  <dc:subject>Twenty complete chapters; working standards remain revisable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