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source review: Chapters 1–10</w:t>
      </w:r>
    </w:p>
    <w:p>
      <w:pPr>
        <w:pStyle w:val="Heading1"/>
      </w:pPr>
      <w:r>
        <w:t>Batch 001 | Active proposals and decisions to preserve the text</w:t>
      </w:r>
    </w:p>
    <w:p>
      <w:r/>
      <w:r>
        <w:rPr>
          <w:b/>
        </w:rPr>
        <w:t>The Omniarch | 13 October 2026</w:t>
      </w:r>
      <w:r/>
    </w:p>
    <w:p>
      <w:pPr>
        <w:pStyle w:val="Heading1"/>
      </w:pPr>
      <w:r>
        <w:t>Reading status</w:t>
      </w:r>
    </w:p>
    <w:p>
      <w:r/>
      <w:r>
        <w:rPr>
          <w:b/>
        </w:rPr>
        <w:t>Completed in this batch:</w:t>
      </w:r>
      <w:r>
        <w:t xml:space="preserve"> the complete Chinese text of Volume 1, Chapters 1–10, read in order, paragraph by paragraph, including the passages between numerical and continuity references.</w:t>
      </w:r>
    </w:p>
    <w:p>
      <w:pPr>
        <w:pStyle w:val="ListBullet"/>
      </w:pPr>
      <w:r>
        <w:t>10 chapters.</w:t>
      </w:r>
    </w:p>
    <w:p>
      <w:pPr>
        <w:pStyle w:val="ListBullet"/>
      </w:pPr>
      <w:r>
        <w:t>715 nonempty source paragraphs.</w:t>
      </w:r>
    </w:p>
    <w:p>
      <w:pPr>
        <w:pStyle w:val="ListBullet"/>
      </w:pPr>
      <w:r>
        <w:t>26,627 characters of paragraph text.</w:t>
      </w:r>
    </w:p>
    <w:p>
      <w:pPr>
        <w:pStyle w:val="ListBullet"/>
      </w:pPr>
      <w:r>
        <w:t xml:space="preserve">Source files: </w:t>
      </w:r>
      <w:r>
        <w:rPr>
          <w:rFonts w:ascii="Consolas" w:hAnsi="Consolas"/>
          <w:sz w:val="18"/>
        </w:rPr>
        <w:t>OEBPS/Text/chapter9.html</w:t>
      </w:r>
      <w:r>
        <w:t xml:space="preserve"> through </w:t>
      </w:r>
      <w:r>
        <w:rPr>
          <w:rFonts w:ascii="Consolas" w:hAnsi="Consolas"/>
          <w:sz w:val="18"/>
        </w:rPr>
        <w:t>chapter18.html</w:t>
      </w:r>
      <w:r>
        <w:t>.</w:t>
      </w:r>
    </w:p>
    <w:p>
      <w:pPr>
        <w:pStyle w:val="ListBullet"/>
      </w:pPr>
      <w:r>
        <w:t>Review focus: numerical meaning, chronology, continuity, and the consequences of proposed emendations.</w:t>
      </w:r>
    </w:p>
    <w:p>
      <w:pPr>
        <w:pStyle w:val="ListBullet"/>
      </w:pPr>
      <w:r>
        <w:t>The chapter titles were also read. Paragraph numbers below count nonempty body paragraphs in the EPUB, not website anchors.</w:t>
      </w:r>
    </w:p>
    <w:p>
      <w:r/>
      <w:r>
        <w:rPr>
          <w:b/>
        </w:rPr>
        <w:t>Not completed:</w:t>
      </w:r>
      <w:r>
        <w:t xml:space="preserve"> the sequential reading of Chapters 11–2334. Earlier whole-corpus searches and selected readings of later passages remain supporting evidence, not a completed continuous reading of those chapters.</w:t>
      </w:r>
    </w:p>
    <w:p>
      <w:r>
        <w:t>This is a source review, not a fresh public-site deployment check or a full bilingual comparison of Chapters 9–10. Suggested English below is proposed wording, not an assertion about the current website.</w:t>
      </w:r>
    </w:p>
    <w:p>
      <w:r/>
      <w:r>
        <w:rPr>
          <w:b/>
        </w:rPr>
        <w:t>No change has been applied to the EPUB, repository, or public translation.</w:t>
      </w:r>
      <w:r>
        <w:t xml:space="preserve"> All substantive harmonisations remain proposals for approval. The full-book proposal set will remain provisional while the sequential reading continues.</w:t>
      </w:r>
    </w:p>
    <w:p>
      <w:pPr>
        <w:pStyle w:val="Heading1"/>
      </w:pPr>
      <w:r>
        <w:t>1. Batch disposition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Chapter</w:t>
            </w:r>
          </w:p>
        </w:tc>
        <w:tc>
          <w:tcPr>
            <w:tcW w:type="dxa" w:w="3331"/>
          </w:tcPr>
          <w:p>
            <w:r>
              <w:t>Source paragraphs read</w:t>
            </w:r>
          </w:p>
        </w:tc>
        <w:tc>
          <w:tcPr>
            <w:tcW w:type="dxa" w:w="3331"/>
          </w:tcPr>
          <w:p>
            <w:r>
              <w:t>Principal result</w:t>
            </w:r>
          </w:p>
        </w:tc>
      </w:tr>
      <w:tr>
        <w:tc>
          <w:tcPr>
            <w:tcW w:type="dxa" w:w="3331"/>
          </w:tcPr>
          <w:p>
            <w:r>
              <w:t>1</w:t>
            </w:r>
          </w:p>
        </w:tc>
        <w:tc>
          <w:tcPr>
            <w:tcW w:type="dxa" w:w="3331"/>
          </w:tcPr>
          <w:p>
            <w:r>
              <w:t>86</w:t>
            </w:r>
          </w:p>
        </w:tc>
        <w:tc>
          <w:tcPr>
            <w:tcW w:type="dxa" w:w="3331"/>
          </w:tcPr>
          <w:p>
            <w:r>
              <w:t>Record casualty claim and rounded life-history durations. Preserve confrontation timing.</w:t>
            </w:r>
          </w:p>
        </w:tc>
      </w:tr>
      <w:tr>
        <w:tc>
          <w:tcPr>
            <w:tcW w:type="dxa" w:w="3331"/>
          </w:tcPr>
          <w:p>
            <w:r>
              <w:t>2</w:t>
            </w:r>
          </w:p>
        </w:tc>
        <w:tc>
          <w:tcPr>
            <w:tcW w:type="dxa" w:w="3331"/>
          </w:tcPr>
          <w:p>
            <w:r>
              <w:t>79</w:t>
            </w:r>
          </w:p>
        </w:tc>
        <w:tc>
          <w:tcPr>
            <w:tcW w:type="dxa" w:w="3331"/>
          </w:tcPr>
          <w:p>
            <w:r>
              <w:t>Reassess casualty discrepancy using the later first-person admission; record orphaning at three.</w:t>
            </w:r>
          </w:p>
        </w:tc>
      </w:tr>
      <w:tr>
        <w:tc>
          <w:tcPr>
            <w:tcW w:type="dxa" w:w="3331"/>
          </w:tcPr>
          <w:p>
            <w:r>
              <w:t>3</w:t>
            </w:r>
          </w:p>
        </w:tc>
        <w:tc>
          <w:tcPr>
            <w:tcW w:type="dxa" w:w="3331"/>
          </w:tcPr>
          <w:p>
            <w:r>
              <w:t>65</w:t>
            </w:r>
          </w:p>
        </w:tc>
        <w:tc>
          <w:tcPr>
            <w:tcW w:type="dxa" w:w="3331"/>
          </w:tcPr>
          <w:p>
            <w:r>
              <w:t>Preserve night-watch sequence, source viewpoint shifts, and the approved dismissal.</w:t>
            </w:r>
          </w:p>
        </w:tc>
      </w:tr>
      <w:tr>
        <w:tc>
          <w:tcPr>
            <w:tcW w:type="dxa" w:w="3331"/>
          </w:tcPr>
          <w:p>
            <w:r>
              <w:t>4</w:t>
            </w:r>
          </w:p>
        </w:tc>
        <w:tc>
          <w:tcPr>
            <w:tcW w:type="dxa" w:w="3331"/>
          </w:tcPr>
          <w:p>
            <w:r>
              <w:t>76</w:t>
            </w:r>
          </w:p>
        </w:tc>
        <w:tc>
          <w:tcPr>
            <w:tcW w:type="dxa" w:w="3331"/>
          </w:tcPr>
          <w:p>
            <w:r>
              <w:t>Preserve developmental estimates and observed step counts; do not invent an aptitude formula.</w:t>
            </w:r>
          </w:p>
        </w:tc>
      </w:tr>
      <w:tr>
        <w:tc>
          <w:tcPr>
            <w:tcW w:type="dxa" w:w="3331"/>
          </w:tcPr>
          <w:p>
            <w:r>
              <w:t>5</w:t>
            </w:r>
          </w:p>
        </w:tc>
        <w:tc>
          <w:tcPr>
            <w:tcW w:type="dxa" w:w="3331"/>
          </w:tcPr>
          <w:p>
            <w:r>
              <w:t>56</w:t>
            </w:r>
          </w:p>
        </w:tc>
        <w:tc>
          <w:tcPr>
            <w:tcW w:type="dxa" w:w="3331"/>
          </w:tcPr>
          <w:p>
            <w:r>
              <w:t>Preserve the complete parable and silent count. Flag boundary interpretation for the glossary, not a new numerical law.</w:t>
            </w:r>
          </w:p>
        </w:tc>
      </w:tr>
      <w:tr>
        <w:tc>
          <w:tcPr>
            <w:tcW w:type="dxa" w:w="3331"/>
          </w:tcPr>
          <w:p>
            <w:r>
              <w:t>6</w:t>
            </w:r>
          </w:p>
        </w:tc>
        <w:tc>
          <w:tcPr>
            <w:tcW w:type="dxa" w:w="3331"/>
          </w:tcPr>
          <w:p>
            <w:r>
              <w:t>75</w:t>
            </w:r>
          </w:p>
        </w:tc>
        <w:tc>
          <w:tcPr>
            <w:tcW w:type="dxa" w:w="3331"/>
          </w:tcPr>
          <w:p>
            <w:r>
              <w:t>Propose a local height/volume harmonisation retaining 44%.</w:t>
            </w:r>
          </w:p>
        </w:tc>
      </w:tr>
      <w:tr>
        <w:tc>
          <w:tcPr>
            <w:tcW w:type="dxa" w:w="3331"/>
          </w:tcPr>
          <w:p>
            <w:r>
              <w:t>7</w:t>
            </w:r>
          </w:p>
        </w:tc>
        <w:tc>
          <w:tcPr>
            <w:tcW w:type="dxa" w:w="3331"/>
          </w:tcPr>
          <w:p>
            <w:r>
              <w:t>55</w:t>
            </w:r>
          </w:p>
        </w:tc>
        <w:tc>
          <w:tcPr>
            <w:tcW w:type="dxa" w:w="3331"/>
          </w:tcPr>
          <w:p>
            <w:r>
              <w:t>Establish the one-week chronology; retain qualified grade ceilings and the clan-account framing.</w:t>
            </w:r>
          </w:p>
        </w:tc>
      </w:tr>
      <w:tr>
        <w:tc>
          <w:tcPr>
            <w:tcW w:type="dxa" w:w="3331"/>
          </w:tcPr>
          <w:p>
            <w:r>
              <w:t>8</w:t>
            </w:r>
          </w:p>
        </w:tc>
        <w:tc>
          <w:tcPr>
            <w:tcW w:type="dxa" w:w="3331"/>
          </w:tcPr>
          <w:p>
            <w:r>
              <w:t>86</w:t>
            </w:r>
          </w:p>
        </w:tc>
        <w:tc>
          <w:tcPr>
            <w:tcW w:type="dxa" w:w="3331"/>
          </w:tcPr>
          <w:p>
            <w:r>
              <w:t>Propose two chronological changes and record the source-text grammatical repair.</w:t>
            </w:r>
          </w:p>
        </w:tc>
      </w:tr>
      <w:tr>
        <w:tc>
          <w:tcPr>
            <w:tcW w:type="dxa" w:w="3331"/>
          </w:tcPr>
          <w:p>
            <w:r>
              <w:t>9</w:t>
            </w:r>
          </w:p>
        </w:tc>
        <w:tc>
          <w:tcPr>
            <w:tcW w:type="dxa" w:w="3331"/>
          </w:tcPr>
          <w:p>
            <w:r>
              <w:t>75</w:t>
            </w:r>
          </w:p>
        </w:tc>
        <w:tc>
          <w:tcPr>
            <w:tcW w:type="dxa" w:w="3331"/>
          </w:tcPr>
          <w:p>
            <w:r>
              <w:t>New fostering-age query; propose a coherent age/duration pair. Preserve the inheritance mechanics.</w:t>
            </w:r>
          </w:p>
        </w:tc>
      </w:tr>
      <w:tr>
        <w:tc>
          <w:tcPr>
            <w:tcW w:type="dxa" w:w="3331"/>
          </w:tcPr>
          <w:p>
            <w:r>
              <w:t>10</w:t>
            </w:r>
          </w:p>
        </w:tc>
        <w:tc>
          <w:tcPr>
            <w:tcW w:type="dxa" w:w="3331"/>
          </w:tcPr>
          <w:p>
            <w:r>
              <w:t>62</w:t>
            </w:r>
          </w:p>
        </w:tc>
        <w:tc>
          <w:tcPr>
            <w:tcW w:type="dxa" w:w="3331"/>
          </w:tcPr>
          <w:p>
            <w:r>
              <w:t>Confirm three further days, capacity-point arithmetic, and recovery rates; correct a numerical-sequence typo.</w:t>
            </w:r>
          </w:p>
        </w:tc>
      </w:tr>
    </w:tbl>
    <w:p>
      <w:pPr>
        <w:pStyle w:val="Heading1"/>
      </w:pPr>
      <w:r>
        <w:t>2. Active proposal SR-001: harmonise the measurement, not the aptitude</w:t>
      </w:r>
    </w:p>
    <w:p>
      <w:r/>
      <w:r>
        <w:rPr>
          <w:b/>
        </w:rPr>
        <w:t>Location:</w:t>
      </w:r>
      <w:r>
        <w:t xml:space="preserve"> Chapter 6, paragraph 8.</w:t>
      </w:r>
    </w:p>
    <w:p>
      <w:r/>
      <w:r>
        <w:rPr>
          <w:b/>
        </w:rPr>
        <w:t>Source:</w:t>
      </w:r>
      <w:r/>
    </w:p>
    <w:p>
      <w:pPr>
        <w:pStyle w:val="Quote"/>
      </w:pPr>
      <w:r>
        <w:t>海面不到空窍的一半高度，只有四成四。这也是丙等资质的局限。</w:t>
      </w:r>
    </w:p>
    <w:p>
      <w:r>
        <w:t>Chapter 10 p19 explicitly says the sea's volume occupies 44% of the aperture; p51 repeats volume. The source's later subtraction in Chapter 80 also depends on retaining that 44% capacity figure.</w:t>
      </w:r>
    </w:p>
    <w:p>
      <w:pPr>
        <w:pStyle w:val="Heading2"/>
      </w:pPr>
      <w:r>
        <w:t>Recommended replacement</w:t>
      </w:r>
    </w:p>
    <w:p>
      <w:pPr>
        <w:pStyle w:val="Quote"/>
      </w:pPr>
      <w:r>
        <w:t>The sea lay below the aperture’s midpoint, occupying forty-four percent of its total volume. With his Grade C aptitude, this was his personal limit.</w:t>
      </w:r>
    </w:p>
    <w:p>
      <w:pPr>
        <w:pStyle w:val="Heading2"/>
      </w:pPr>
      <w:r>
        <w:t>Why this version</w:t>
      </w:r>
    </w:p>
    <w:p>
      <w:r>
        <w:t>It preserves the sea below the midpoint, the established 44%, and Fang Yuan's personal limitation. It stops identifying a height fraction with a volume fraction. It does not replace 44% with 41.04% or introduce an unnecessary calculated sea height of 45.99% into the prose.</w:t>
      </w:r>
    </w:p>
    <w:p>
      <w:pPr>
        <w:pStyle w:val="Heading2"/>
      </w:pPr>
      <w:r>
        <w:t>Classification and dependencies</w:t>
      </w:r>
    </w:p>
    <w:p>
      <w:r/>
      <w:r>
        <w:rPr>
          <w:b/>
        </w:rPr>
        <w:t>Preferred editorial harmonisation; not a literal recovery of the Chapter 6 wording.</w:t>
      </w:r>
      <w:r>
        <w:t xml:space="preserve"> Record the change in the emendation log. Check later exact numerical references to height as they are encountered. Ordinary descriptions of the sea rising or falling do not require replacement.</w:t>
      </w:r>
    </w:p>
    <w:p>
      <w:r>
        <w:t>Do not repeatedly append the same explanation to every scene. Introduce the capacity convention clearly, then preserve natural narrative shorthand where it is unambiguous.</w:t>
      </w:r>
    </w:p>
    <w:p>
      <w:pPr>
        <w:pStyle w:val="Heading1"/>
      </w:pPr>
      <w:r>
        <w:t>3. Active proposal SR-002: retain the week and repair Chapter 8 locally</w:t>
      </w:r>
    </w:p>
    <w:p>
      <w:pPr>
        <w:pStyle w:val="Heading2"/>
      </w:pPr>
      <w:r>
        <w:t>Continuous timeline in this batch</w:t>
      </w:r>
    </w:p>
    <w:tbl>
      <w:tblPr>
        <w:tblStyle w:val="LightShading-Accent1"/>
        <w:tblW w:type="auto" w:w="0"/>
        <w:tblLook w:firstColumn="1" w:firstRow="1" w:lastColumn="0" w:lastRow="0" w:noHBand="0" w:noVBand="1" w:val="04A0"/>
      </w:tblPr>
      <w:tblGrid>
        <w:gridCol w:w="4997"/>
        <w:gridCol w:w="4997"/>
      </w:tblGrid>
      <w:tr>
        <w:tc>
          <w:tcPr>
            <w:tcW w:type="dxa" w:w="4997"/>
          </w:tcPr>
          <w:p>
            <w:r>
              <w:t>Point</w:t>
            </w:r>
          </w:p>
        </w:tc>
        <w:tc>
          <w:tcPr>
            <w:tcW w:type="dxa" w:w="4997"/>
          </w:tcPr>
          <w:p>
            <w:r>
              <w:t>Source anchor</w:t>
            </w:r>
          </w:p>
        </w:tc>
      </w:tr>
      <w:tr>
        <w:tc>
          <w:tcPr>
            <w:tcW w:type="dxa" w:w="4997"/>
          </w:tcPr>
          <w:p>
            <w:r>
              <w:t>Eve of ceremony</w:t>
            </w:r>
          </w:p>
        </w:tc>
        <w:tc>
          <w:tcPr>
            <w:tcW w:type="dxa" w:w="4997"/>
          </w:tcPr>
          <w:p>
            <w:r>
              <w:t>Chapters 1–2, night and tomorrow's ceremony.</w:t>
            </w:r>
          </w:p>
        </w:tc>
      </w:tr>
      <w:tr>
        <w:tc>
          <w:tcPr>
            <w:tcW w:type="dxa" w:w="4997"/>
          </w:tcPr>
          <w:p>
            <w:r>
              <w:t>Ceremony</w:t>
            </w:r>
          </w:p>
        </w:tc>
        <w:tc>
          <w:tcPr>
            <w:tcW w:type="dxa" w:w="4997"/>
          </w:tcPr>
          <w:p>
            <w:r>
              <w:t>Chapters 3–6, dawn into the morning.</w:t>
            </w:r>
          </w:p>
        </w:tc>
      </w:tr>
      <w:tr>
        <w:tc>
          <w:tcPr>
            <w:tcW w:type="dxa" w:w="4997"/>
          </w:tcPr>
          <w:p>
            <w:r>
              <w:t>Seven days later</w:t>
            </w:r>
          </w:p>
        </w:tc>
        <w:tc>
          <w:tcPr>
            <w:tcW w:type="dxa" w:w="4997"/>
          </w:tcPr>
          <w:p>
            <w:r>
              <w:t>Ch7 p1: one week; p4: ceremony seven days ago.</w:t>
            </w:r>
          </w:p>
        </w:tc>
      </w:tr>
      <w:tr>
        <w:tc>
          <w:tcPr>
            <w:tcW w:type="dxa" w:w="4997"/>
          </w:tcPr>
          <w:p>
            <w:r>
              <w:t>Same lesson and its aftermath</w:t>
            </w:r>
          </w:p>
        </w:tc>
        <w:tc>
          <w:tcPr>
            <w:tcW w:type="dxa" w:w="4997"/>
          </w:tcPr>
          <w:p>
            <w:r>
              <w:t>Ch7 p52 sends students to select Gu; Ch8 begins immediately after the lesson.</w:t>
            </w:r>
          </w:p>
        </w:tc>
      </w:tr>
      <w:tr>
        <w:tc>
          <w:tcPr>
            <w:tcW w:type="dxa" w:w="4997"/>
          </w:tcPr>
          <w:p>
            <w:r>
              <w:t>Seven days of wine purchases</w:t>
            </w:r>
          </w:p>
        </w:tc>
        <w:tc>
          <w:tcPr>
            <w:tcW w:type="dxa" w:w="4997"/>
          </w:tcPr>
          <w:p>
            <w:r>
              <w:t>Ch8 p37.</w:t>
            </w:r>
          </w:p>
        </w:tc>
      </w:tr>
      <w:tr>
        <w:tc>
          <w:tcPr>
            <w:tcW w:type="dxa" w:w="4997"/>
          </w:tcPr>
          <w:p>
            <w:r>
              <w:t>Brothers return home</w:t>
            </w:r>
          </w:p>
        </w:tc>
        <w:tc>
          <w:tcPr>
            <w:tcW w:type="dxa" w:w="4997"/>
          </w:tcPr>
          <w:p>
            <w:r>
              <w:t>Ch8 ending leads into Ch9's sunset visit, still carrying the two wine jars.</w:t>
            </w:r>
          </w:p>
        </w:tc>
      </w:tr>
      <w:tr>
        <w:tc>
          <w:tcPr>
            <w:tcW w:type="dxa" w:w="4997"/>
          </w:tcPr>
          <w:p>
            <w:r>
              <w:t>That evening</w:t>
            </w:r>
          </w:p>
        </w:tc>
        <w:tc>
          <w:tcPr>
            <w:tcW w:type="dxa" w:w="4997"/>
          </w:tcPr>
          <w:p>
            <w:r>
              <w:t>Ch9: Fang Yuan leaves to search; approaching rain.</w:t>
            </w:r>
          </w:p>
        </w:tc>
      </w:tr>
      <w:tr>
        <w:tc>
          <w:tcPr>
            <w:tcW w:type="dxa" w:w="4997"/>
          </w:tcPr>
          <w:p>
            <w:r>
              <w:t>Three days later</w:t>
            </w:r>
          </w:p>
        </w:tc>
        <w:tc>
          <w:tcPr>
            <w:tcW w:type="dxa" w:w="4997"/>
          </w:tcPr>
          <w:p>
            <w:r>
              <w:t>Ch10 pp5–7 explicitly refer to three days and nights of rain, beginning on that search night.</w:t>
            </w:r>
          </w:p>
        </w:tc>
      </w:tr>
    </w:tbl>
    <w:p>
      <w:r>
        <w:t>Chapter 8's month and ten-plus-day descriptions conflict with this connected sequence.</w:t>
      </w:r>
    </w:p>
    <w:p>
      <w:pPr>
        <w:pStyle w:val="Heading2"/>
      </w:pPr>
      <w:r>
        <w:t>Recommended replacements</w:t>
      </w:r>
    </w:p>
    <w:p>
      <w:r/>
      <w:r>
        <w:rPr>
          <w:b/>
        </w:rPr>
        <w:t>Ch8 p48, 短短的一个月:</w:t>
      </w:r>
      <w:r/>
    </w:p>
    <w:p>
      <w:pPr>
        <w:pStyle w:val="Quote"/>
      </w:pPr>
      <w:r>
        <w:t>In a mere week, everything had changed.</w:t>
      </w:r>
    </w:p>
    <w:p>
      <w:r/>
      <w:r>
        <w:rPr>
          <w:b/>
        </w:rPr>
        <w:t>Ch8 p58, 最初的十几天下来:</w:t>
      </w:r>
      <w:r/>
    </w:p>
    <w:p>
      <w:pPr>
        <w:pStyle w:val="Quote"/>
      </w:pPr>
      <w:r>
        <w:t>Over those first few days, Gu Yue Fang Zheng had inexplicably grown thinner, yet his vitality had increased.</w:t>
      </w:r>
    </w:p>
    <w:p>
      <w:r>
        <w:t xml:space="preserve">The essential changes are </w:t>
      </w:r>
      <w:r>
        <w:rPr>
          <w:b/>
        </w:rPr>
        <w:t>month → week</w:t>
      </w:r>
      <w:r>
        <w:t xml:space="preserve"> and </w:t>
      </w:r>
      <w:r>
        <w:rPr>
          <w:b/>
        </w:rPr>
        <w:t>ten-plus days → first few days</w:t>
      </w:r>
      <w:r>
        <w:t>. Fit those phrases into the existing approved sentence structure rather than replacing an entire paragraph unnecessarily.</w:t>
      </w:r>
    </w:p>
    <w:p>
      <w:pPr>
        <w:pStyle w:val="Heading2"/>
      </w:pPr>
      <w:r>
        <w:t>Why not change the surrounding week references instead?</w:t>
      </w:r>
    </w:p>
    <w:p>
      <w:r>
        <w:t>The week is independently repeated in the lesson, the ceremony reference, the pupils' commentary, and the wine purchases. It also connects directly to the events of Chapters 9–10. Altering those anchors would require a wider and less supported rewrite.</w:t>
      </w:r>
    </w:p>
    <w:p>
      <w:r/>
      <w:r>
        <w:rPr>
          <w:b/>
        </w:rPr>
        <w:t>Status:</w:t>
      </w:r>
      <w:r>
        <w:t xml:space="preserve"> preferred local harmonisation, strongly supported by the continuous opening sequence. Check Chapters 11–20 for downstream dated references before treating it as ready for publication.</w:t>
      </w:r>
    </w:p>
    <w:p>
      <w:r/>
      <w:r>
        <w:rPr>
          <w:b/>
        </w:rPr>
        <w:t>Keep:</w:t>
      </w:r>
      <w:r>
        <w:t xml:space="preserve"> Chapter 7's arrival of the fourth month. A week can cross a calendar-month boundary; this is not itself a contradiction.</w:t>
      </w:r>
    </w:p>
    <w:p>
      <w:pPr>
        <w:pStyle w:val="Heading1"/>
      </w:pPr>
      <w:r>
        <w:t>4. Active proposal SR-003: reconcile the fostering age and duration as a pair</w:t>
      </w:r>
    </w:p>
    <w:p>
      <w:r/>
      <w:r>
        <w:rPr>
          <w:b/>
        </w:rPr>
        <w:t>Chapter 2, pp49–50:</w:t>
      </w:r>
      <w:r>
        <w:t xml:space="preserve"> the brothers become orphans at three; the uncle and aunt appropriate their inheritance under the pretext of raising them.</w:t>
      </w:r>
    </w:p>
    <w:p>
      <w:r/>
      <w:r>
        <w:rPr>
          <w:b/>
        </w:rPr>
        <w:t>Chapter 9, p16:</w:t>
      </w:r>
      <w:r/>
    </w:p>
    <w:p>
      <w:pPr>
        <w:pStyle w:val="Quote"/>
      </w:pPr>
      <w:r>
        <w:t>“好儿子，不枉费我们夫妻从五岁就抚养你，可养了你整整十年啊。”</w:t>
      </w:r>
    </w:p>
    <w:p>
      <w:r>
        <w:t>The aunt says she and her husband have raised Fang Zheng from five for ten years. The boys' present age of fifteen is consistent with that sentence alone, but its starting age differs from the earlier account's apparent sequence.</w:t>
      </w:r>
    </w:p>
    <w:p>
      <w:pPr>
        <w:pStyle w:val="Heading2"/>
      </w:pPr>
      <w:r>
        <w:t>Preferred harmonisation</w:t>
      </w:r>
    </w:p>
    <w:p>
      <w:pPr>
        <w:pStyle w:val="Quote"/>
      </w:pPr>
      <w:r>
        <w:t>“Good boy. We have raised you since you were three, for twelve whole years. Our efforts have not been wasted.”</w:t>
      </w:r>
    </w:p>
    <w:p>
      <w:r/>
      <w:r>
        <w:rPr>
          <w:b/>
        </w:rPr>
        <w:t>Change both elements:</w:t>
      </w:r>
      <w:r>
        <w:t xml:space="preserve"> five → three; ten years → twelve years.</w:t>
      </w:r>
    </w:p>
    <w:p>
      <w:pPr>
        <w:pStyle w:val="Heading2"/>
      </w:pPr>
      <w:r>
        <w:t>Why this direction?</w:t>
      </w:r>
    </w:p>
    <w:p>
      <w:r>
        <w:t>It preserves the earlier orphaning age and keeps the brothers fifteen in the present scene. It also preserves the aunt's self-congratulatory claim of long guardianship.</w:t>
      </w:r>
    </w:p>
    <w:p>
      <w:pPr>
        <w:pStyle w:val="Heading2"/>
      </w:pPr>
      <w:r>
        <w:t>Important limit</w:t>
      </w:r>
    </w:p>
    <w:p>
      <w:r>
        <w:t xml:space="preserve">This is </w:t>
      </w:r>
      <w:r>
        <w:rPr>
          <w:b/>
        </w:rPr>
        <w:t>not an arithmetical contradiction by itself</w:t>
      </w:r>
      <w:r>
        <w:t>. Orphaning at three and the start of fostering at five could coexist if an intervening arrangement existed. The reviewed account does not supply such an arrangement. The aunt could also be an unreliable speaker, but the text does not explicitly mark this date as a deliberate lie.</w:t>
      </w:r>
    </w:p>
    <w:p>
      <w:r>
        <w:t xml:space="preserve">My preferred harmonisation is therefore three/twelve, with </w:t>
      </w:r>
      <w:r>
        <w:rPr>
          <w:b/>
        </w:rPr>
        <w:t>moderate confidence in the intervention</w:t>
      </w:r>
      <w:r>
        <w:t>, not a claim that a corrected Chinese manuscript has been recovered. Before adoption, check later childhood references and other witnesses. Do not invent two years with another guardian merely to avoid making an editorial decision.</w:t>
      </w:r>
    </w:p>
    <w:p>
      <w:pPr>
        <w:pStyle w:val="Heading1"/>
      </w:pPr>
      <w:r>
        <w:t>5. Active proposal SR-004: the casualty query now has a preferred harmonisation</w:t>
      </w:r>
    </w:p>
    <w:p>
      <w:r/>
      <w:r>
        <w:rPr>
          <w:b/>
        </w:rPr>
        <w:t>Chapter 1 p3:</w:t>
      </w:r>
      <w:r>
        <w:t xml:space="preserve"> 千万人 in an antagonist's accusation.</w:t>
      </w:r>
    </w:p>
    <w:p>
      <w:r/>
      <w:r>
        <w:rPr>
          <w:b/>
        </w:rPr>
        <w:t>Chapter 2 p11:</w:t>
      </w:r>
      <w:r>
        <w:t xml:space="preserve"> 数十万人 in Fang Yuan's private reflection.</w:t>
      </w:r>
    </w:p>
    <w:p>
      <w:r>
        <w:t>Previously, preserving the discrepancy as potentially accusatory exaggeration was a reasonable holding position. However, the wider source search located another important passage, rechecked for this batch:</w:t>
      </w:r>
    </w:p>
    <w:p>
      <w:r/>
      <w:r>
        <w:rPr>
          <w:b/>
        </w:rPr>
        <w:t>Volume 2, Chapter 180, `chapter388.html`, p39:</w:t>
      </w:r>
      <w:r/>
    </w:p>
    <w:p>
      <w:pPr>
        <w:pStyle w:val="Quote"/>
      </w:pPr>
      <w:r>
        <w:t>当年我炼春秋蝉，屠杀千万人，也是如此缘由。</w:t>
      </w:r>
    </w:p>
    <w:p>
      <w:r>
        <w:t>Close sense:</w:t>
      </w:r>
    </w:p>
    <w:p>
      <w:pPr>
        <w:pStyle w:val="Quote"/>
      </w:pPr>
      <w:r>
        <w:t>When I refined the Spring Autumn Cicada back then, I slaughtered ten million people for the same reason.</w:t>
      </w:r>
    </w:p>
    <w:p>
      <w:r>
        <w:t>This is Fang Yuan's own statement, not another enemy's allegation. Consequently, “only the accuser inflated the number” is not an adequate account of all located evidence.</w:t>
      </w:r>
    </w:p>
    <w:p>
      <w:pPr>
        <w:pStyle w:val="Heading2"/>
      </w:pPr>
      <w:r>
        <w:t>Preferred harmonisation if this edition resolves the discrepancy</w:t>
      </w:r>
    </w:p>
    <w:p>
      <w:r>
        <w:t>In Chapter 2's existing sentence, change only:</w:t>
      </w:r>
    </w:p>
    <w:p>
      <w:pPr>
        <w:pStyle w:val="Quote"/>
      </w:pPr>
      <w:r>
        <w:t>hundreds of thousands of people</w:t>
      </w:r>
    </w:p>
    <w:p>
      <w:r/>
      <w:r>
        <w:rPr>
          <w:b/>
        </w:rPr>
        <w:t>to:</w:t>
      </w:r>
      <w:r/>
    </w:p>
    <w:p>
      <w:pPr>
        <w:pStyle w:val="Quote"/>
      </w:pPr>
      <w:r>
        <w:t>ten million people</w:t>
      </w:r>
    </w:p>
    <w:p>
      <w:r>
        <w:t>Retain the surrounding effort, public outrage, and reflection. Do not add “innocents”.</w:t>
      </w:r>
    </w:p>
    <w:p>
      <w:pPr>
        <w:pStyle w:val="Heading2"/>
      </w:pPr>
      <w:r>
        <w:t>Why this direction?</w:t>
      </w:r>
    </w:p>
    <w:p>
      <w:r>
        <w:t>It aligns the early accusation with a later first-person admission while changing the isolated lower figure. It avoids reducing both ten-million references to the earlier private figure without affirmative evidence.</w:t>
      </w:r>
    </w:p>
    <w:p>
      <w:pPr>
        <w:pStyle w:val="Heading2"/>
      </w:pPr>
      <w:r>
        <w:t>Status and dependency</w:t>
      </w:r>
    </w:p>
    <w:p>
      <w:r/>
      <w:r>
        <w:rPr>
          <w:b/>
        </w:rPr>
        <w:t>A preferred conjectural emendation, not yet approved.</w:t>
      </w:r>
      <w:r>
        <w:t xml:space="preserve"> The readings differ; the author's intended correction is not certain. A different scope or a further conflicting passage remains possible. The later passage has been checked locally, but Volume 2, Chapter 180 has not yet been reached in the sequential reading. Keep this proposal provisional until then or until stronger witness evidence settles it.</w:t>
      </w:r>
    </w:p>
    <w:p>
      <w:r>
        <w:t>If source fidelity is preferred over harmonisation, the defensible alternative is to keep both readings with a note. That is an alternative publication policy, not evidence that the numbers agree.</w:t>
      </w:r>
    </w:p>
    <w:p>
      <w:pPr>
        <w:pStyle w:val="Heading1"/>
      </w:pPr>
      <w:r>
        <w:t>6. Active proposal SR-005: regularise the broken negative clause in Chapter 8</w:t>
      </w:r>
    </w:p>
    <w:p>
      <w:r/>
      <w:r>
        <w:rPr>
          <w:b/>
        </w:rPr>
        <w:t>Chapter 8 p42:</w:t>
      </w:r>
      <w:r/>
    </w:p>
    <w:p>
      <w:pPr>
        <w:pStyle w:val="Quote"/>
      </w:pPr>
      <w:r>
        <w:t>以我丙等资质，有没有其他手段，根本就没有得胜的希望。</w:t>
      </w:r>
    </w:p>
    <w:p>
      <w:r>
        <w:t>The surrounding thought explains why Fang Yuan cannot expect to win the refinement race with his aptitude and available means. The interrogative-looking 有没有 disrupts that explanation.</w:t>
      </w:r>
    </w:p>
    <w:p>
      <w:pPr>
        <w:pStyle w:val="Heading2"/>
      </w:pPr>
      <w:r>
        <w:t>Recommended working-source emendation</w:t>
      </w:r>
    </w:p>
    <w:p>
      <w:pPr>
        <w:pStyle w:val="Quote"/>
      </w:pPr>
      <w:r>
        <w:t>以我丙等资质，又没有其他手段，根本就没有得胜的希望。</w:t>
      </w:r>
    </w:p>
    <w:p>
      <w:pPr>
        <w:pStyle w:val="Heading2"/>
      </w:pPr>
      <w:r>
        <w:t>Recommended English sense</w:t>
      </w:r>
    </w:p>
    <w:p>
      <w:pPr>
        <w:pStyle w:val="Quote"/>
      </w:pPr>
      <w:r>
        <w:t>With my Grade C aptitude and no other means at my disposal, I have no hope of winning.</w:t>
      </w:r>
    </w:p>
    <w:p>
      <w:r/>
      <w:r>
        <w:rPr>
          <w:b/>
        </w:rPr>
        <w:t>Action:</w:t>
      </w:r>
      <w:r>
        <w:t xml:space="preserve"> retain the existing sensible English if it already gives this negative meaning. Record the underlying source correction, rather than replacing a correct translation just to show that something was edited.</w:t>
      </w:r>
    </w:p>
    <w:p>
      <w:r/>
      <w:r>
        <w:rPr>
          <w:b/>
        </w:rPr>
        <w:t>Confidence:</w:t>
      </w:r>
      <w:r>
        <w:t xml:space="preserve"> high contextual confidence; no independent corrected witness is claimed.</w:t>
      </w:r>
    </w:p>
    <w:p>
      <w:pPr>
        <w:pStyle w:val="Heading1"/>
      </w:pPr>
      <w:r>
        <w:t>7. Active proposal SR-006: repair the unit character in the numerical sequence</w:t>
      </w:r>
    </w:p>
    <w:p>
      <w:r/>
      <w:r>
        <w:rPr>
          <w:b/>
        </w:rPr>
        <w:t>Chapter 10 p31:</w:t>
      </w:r>
      <w:r/>
    </w:p>
    <w:p>
      <w:pPr>
        <w:pStyle w:val="Quote"/>
      </w:pPr>
      <w:r>
        <w:t>一分、两分、三分……八方、九分、一成。</w:t>
      </w:r>
    </w:p>
    <w:p>
      <w:r>
        <w:t>八方 means “eight directions”; it breaks a sequence counting essence amounts.</w:t>
      </w:r>
    </w:p>
    <w:p>
      <w:pPr>
        <w:pStyle w:val="Heading2"/>
      </w:pPr>
      <w:r>
        <w:t>Recommended correction</w:t>
      </w:r>
    </w:p>
    <w:p>
      <w:r/>
      <w:r>
        <w:rPr>
          <w:b/>
        </w:rPr>
        <w:t>八方 → 八分</w:t>
      </w:r>
      <w:r/>
    </w:p>
    <w:p>
      <w:r>
        <w:t>The resulting sequence is:</w:t>
      </w:r>
    </w:p>
    <w:p>
      <w:pPr>
        <w:pStyle w:val="Quote"/>
      </w:pPr>
      <w:r>
        <w:t>一分、两分、三分……八分、九分、一成。</w:t>
      </w:r>
    </w:p>
    <w:p>
      <w:r>
        <w:t>A precise English presentation is:</w:t>
      </w:r>
    </w:p>
    <w:p>
      <w:pPr>
        <w:pStyle w:val="Quote"/>
      </w:pPr>
      <w:r>
        <w:t>One percentage point, two, three… eight, nine, ten.</w:t>
      </w:r>
    </w:p>
    <w:p>
      <w:r>
        <w:t>If the capacity scale has already been defined, a more concise counting presentation can remain. Do not translate 八方 literally here, and do not turn 成 into a cultivation revolution.</w:t>
      </w:r>
    </w:p>
    <w:p>
      <w:r/>
      <w:r>
        <w:rPr>
          <w:b/>
        </w:rPr>
        <w:t>Classification:</w:t>
      </w:r>
      <w:r>
        <w:t xml:space="preserve"> high-confidence local textual correction. Unlike the casualty harmonisation, its intended reading is strongly determined by the immediate sequence.</w:t>
      </w:r>
    </w:p>
    <w:p>
      <w:pPr>
        <w:pStyle w:val="Heading1"/>
      </w:pPr>
      <w:r>
        <w:t>8. Active proposal SR-007: make the percentage-point convention explicit once</w:t>
      </w:r>
    </w:p>
    <w:p>
      <w:r>
        <w:t>Chapter 10 provides the following linked quantities: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Passage</w:t>
            </w:r>
          </w:p>
        </w:tc>
        <w:tc>
          <w:tcPr>
            <w:tcW w:type="dxa" w:w="3331"/>
          </w:tcPr>
          <w:p>
            <w:r>
              <w:t>Source accounting</w:t>
            </w:r>
          </w:p>
        </w:tc>
        <w:tc>
          <w:tcPr>
            <w:tcW w:type="dxa" w:w="3331"/>
          </w:tcPr>
          <w:p>
            <w:r>
              <w:t>Interpretation to preserve</w:t>
            </w:r>
          </w:p>
        </w:tc>
      </w:tr>
      <w:tr>
        <w:tc>
          <w:tcPr>
            <w:tcW w:type="dxa" w:w="3331"/>
          </w:tcPr>
          <w:p>
            <w:r>
              <w:t>pp19, 51</w:t>
            </w:r>
          </w:p>
        </w:tc>
        <w:tc>
          <w:tcPr>
            <w:tcW w:type="dxa" w:w="3331"/>
          </w:tcPr>
          <w:p>
            <w:r>
              <w:t>Four tenths and four hundredths</w:t>
            </w:r>
          </w:p>
        </w:tc>
        <w:tc>
          <w:tcPr>
            <w:tcW w:type="dxa" w:w="3331"/>
          </w:tcPr>
          <w:p>
            <w:r>
              <w:t>44% of total aperture capacity.</w:t>
            </w:r>
          </w:p>
        </w:tc>
      </w:tr>
      <w:tr>
        <w:tc>
          <w:tcPr>
            <w:tcW w:type="dxa" w:w="3331"/>
          </w:tcPr>
          <w:p>
            <w:r>
              <w:t>pp32–39</w:t>
            </w:r>
          </w:p>
        </w:tc>
        <w:tc>
          <w:tcPr>
            <w:tcW w:type="dxa" w:w="3331"/>
          </w:tcPr>
          <w:p>
            <w:r>
              <w:t>Ten points depleted, then twenty more; fourteen remain</w:t>
            </w:r>
          </w:p>
        </w:tc>
        <w:tc>
          <w:tcPr>
            <w:tcW w:type="dxa" w:w="3331"/>
          </w:tcPr>
          <w:p>
            <w:r>
              <w:t>44 − 30 = 14 on the same scale.</w:t>
            </w:r>
          </w:p>
        </w:tc>
      </w:tr>
      <w:tr>
        <w:tc>
          <w:tcPr>
            <w:tcW w:type="dxa" w:w="3331"/>
          </w:tcPr>
          <w:p>
            <w:r>
              <w:t>p46</w:t>
            </w:r>
          </w:p>
        </w:tc>
        <w:tc>
          <w:tcPr>
            <w:tcW w:type="dxa" w:w="3331"/>
          </w:tcPr>
          <w:p>
            <w:r>
              <w:t>Four points/hour; twenty-four over six hours</w:t>
            </w:r>
          </w:p>
        </w:tc>
        <w:tc>
          <w:tcPr>
            <w:tcW w:type="dxa" w:w="3331"/>
          </w:tcPr>
          <w:p>
            <w:r>
              <w:t>Approximate recovery on the capacity scale.</w:t>
            </w:r>
          </w:p>
        </w:tc>
      </w:tr>
      <w:tr>
        <w:tc>
          <w:tcPr>
            <w:tcW w:type="dxa" w:w="3331"/>
          </w:tcPr>
          <w:p>
            <w:r>
              <w:t>p55</w:t>
            </w:r>
          </w:p>
        </w:tc>
        <w:tc>
          <w:tcPr>
            <w:tcW w:type="dxa" w:w="3331"/>
          </w:tcPr>
          <w:p>
            <w:r>
              <w:t>Eight points/hour; forty-eight over six hours</w:t>
            </w:r>
          </w:p>
        </w:tc>
        <w:tc>
          <w:tcPr>
            <w:tcW w:type="dxa" w:w="3331"/>
          </w:tcPr>
          <w:p>
            <w:r>
              <w:t>Fang Zheng's stated recovery, not a new exact aptitude formula.</w:t>
            </w:r>
          </w:p>
        </w:tc>
      </w:tr>
      <w:tr>
        <w:tc>
          <w:tcPr>
            <w:tcW w:type="dxa" w:w="3331"/>
          </w:tcPr>
          <w:p>
            <w:r>
              <w:t>pp42, 55</w:t>
            </w:r>
          </w:p>
        </w:tc>
        <w:tc>
          <w:tcPr>
            <w:tcW w:type="dxa" w:w="3331"/>
          </w:tcPr>
          <w:p>
            <w:r>
              <w:t>Thirty points expelled over about six hours</w:t>
            </w:r>
          </w:p>
        </w:tc>
        <w:tc>
          <w:tcPr>
            <w:tcW w:type="dxa" w:w="3331"/>
          </w:tcPr>
          <w:p>
            <w:r>
              <w:t>The described Moonlight Gu resistance account.</w:t>
            </w:r>
          </w:p>
        </w:tc>
      </w:tr>
    </w:tbl>
    <w:p>
      <w:pPr>
        <w:pStyle w:val="Heading2"/>
      </w:pPr>
      <w:r>
        <w:t>Recommended explanatory note</w:t>
      </w:r>
    </w:p>
    <w:p>
      <w:pPr>
        <w:pStyle w:val="Quote"/>
      </w:pPr>
      <w:r>
        <w:t>When this edition gives a primeval sea’s capacity as a percentage, the reference is the aperture’s full capacity, not the amount currently stored. Changes on that scale are percentage points. Fractions explicitly referring to a cultivator’s remaining or maximum reserve retain that separate reference point.</w:t>
      </w:r>
    </w:p>
    <w:p>
      <w:r>
        <w:t>Place this once in an appropriate explanatory note or glossary. It is not a request to insert a textbook definition into every paragraph.</w:t>
      </w:r>
    </w:p>
    <w:p>
      <w:pPr>
        <w:pStyle w:val="Heading2"/>
      </w:pPr>
      <w:r>
        <w:t>Recommended narrative treatment</w:t>
      </w:r>
    </w:p>
    <w:p>
      <w:r>
        <w:t>Where a sentence could be read proportionally, favour the explicit starting and ending states:</w:t>
      </w:r>
    </w:p>
    <w:p>
      <w:pPr>
        <w:pStyle w:val="Quote"/>
      </w:pPr>
      <w:r>
        <w:t>After half an hour, his reserve had fallen from forty-four percent of the aperture’s capacity to fourteen percent.</w:t>
      </w:r>
    </w:p>
    <w:p>
      <w:r>
        <w:t>Preserve the source's approximation in recovery rates. Do not substitute 4.4 for four or 8.8 for eight by assuming a universal one-tenth-of-aptitude formula.</w:t>
      </w:r>
    </w:p>
    <w:p>
      <w:pPr>
        <w:pStyle w:val="Heading2"/>
      </w:pPr>
      <w:r>
        <w:t>Limit: do not invent a conservation model</w:t>
      </w:r>
    </w:p>
    <w:p>
      <w:r>
        <w:t>The chapter does not completely specify how natural recovery proceeds during every moment of active refinement, or whether a reported expenditure is gross flow or net depletion. Treat the stated reserve changes as the narrated observations. Do not silently add two points to the remaining reserve because thirty minutes have elapsed, nor invent a rule that natural recovery always stops while Gu are being refined.</w:t>
      </w:r>
    </w:p>
    <w:p>
      <w:r/>
      <w:r>
        <w:rPr>
          <w:b/>
        </w:rPr>
        <w:t>Status:</w:t>
      </w:r>
      <w:r>
        <w:t xml:space="preserve"> recommended explanatory/translation policy; it does not alter source numerical values.</w:t>
      </w:r>
    </w:p>
    <w:p>
      <w:pPr>
        <w:pStyle w:val="Heading1"/>
      </w:pPr>
      <w:r>
        <w:t>9. Deliberate decisions not to emend</w:t>
      </w:r>
    </w:p>
    <w:p>
      <w:pPr>
        <w:pStyle w:val="Heading2"/>
      </w:pPr>
      <w:r>
        <w:t>Retain the approved thought treatment</w:t>
      </w:r>
    </w:p>
    <w:p>
      <w:r>
        <w:t>Chapter 3's movement into explicit first-person dismissal and Chapter 6's reflexive hope maxim remain legitimate. Nothing in this source reading justifies a new uniform-person rule. “If I cast him aside, so be it” and the source-supported general formulation about hope should not be reopened merely for stylistic uniformity.</w:t>
      </w:r>
    </w:p>
    <w:p>
      <w:pPr>
        <w:pStyle w:val="Heading2"/>
      </w:pPr>
      <w:r>
        <w:t>Preserve both actions in the Ren Zu parable</w:t>
      </w:r>
    </w:p>
    <w:p>
      <w:r>
        <w:t>Chapter 5 p21 says he overcame previously unconquered objectives and killed more Predicaments. Keep both, rather than treating the second as a complete substitute for the first.</w:t>
      </w:r>
    </w:p>
    <w:p>
      <w:pPr>
        <w:pStyle w:val="Heading2"/>
      </w:pPr>
      <w:r>
        <w:t>Keep the awakening results without inventing a linear formula</w:t>
      </w:r>
    </w:p>
    <w:p>
      <w:r>
        <w:t>The observed results include Mo Bei's 36 steps and 66% capacity, Fang Yuan's 27 steps and 44%, and Fang Zheng's 43 steps and Grade A result. These observations support the broad test categories. They do not establish a unique step-to-percentage equation.</w:t>
      </w:r>
    </w:p>
    <w:p>
      <w:r>
        <w:t>The source's “ten to twenty”, “twenty to thirty” phrasing is potentially ambiguous at exact boundaries. Do not quietly publish a new endpoint rule or a decimal interpolation table without an explicit editorial convention and supporting examples.</w:t>
      </w:r>
    </w:p>
    <w:p>
      <w:pPr>
        <w:pStyle w:val="Heading2"/>
      </w:pPr>
      <w:r>
        <w:t>Keep qualifications in the cultivation forecasts</w:t>
      </w:r>
    </w:p>
    <w:p>
      <w:r>
        <w:t>Chapter 4 gives broad developmental estimates; Chapter 7 gives usual attainment ranges. Preserve “usually”, “most”, “about”, and similar scope markers. Do not turn these into guaranteed schedules or hard ceilings.</w:t>
      </w:r>
    </w:p>
    <w:p>
      <w:pPr>
        <w:pStyle w:val="Heading2"/>
      </w:pPr>
      <w:r>
        <w:t>Do not change the clan's history solely to make two sentences match</w:t>
      </w:r>
    </w:p>
    <w:p>
      <w:r>
        <w:t>Chapter 4's reflection about the sole Fifth Revolution figure sits in a discussion of recent generations and weakening bloodlines. Chapter 7 expressly names two Fifth Revolution clan leaders across the clan's history. Keep the possible difference in temporal scope in view before declaring a contradiction.</w:t>
      </w:r>
    </w:p>
    <w:p>
      <w:r>
        <w:t>The Flower Wine Monk story is also a received clan account. Preserve that framing rather than rewriting it from the perspective of later revelations.</w:t>
      </w:r>
    </w:p>
    <w:p>
      <w:pPr>
        <w:pStyle w:val="Heading2"/>
      </w:pPr>
      <w:r>
        <w:t>Preserve rumours as rumours</w:t>
      </w:r>
    </w:p>
    <w:p>
      <w:r>
        <w:t>Chapter 7 reports supposed drunkenness through the pupils' gossip. Chapter 9 p65 says this is the first time Fang Yuan has actually drunk wine during these days. Chapter 10 explains the disguise. These are not inconsistent omniscient statements requiring the drinking history to be rewritten.</w:t>
      </w:r>
    </w:p>
    <w:p>
      <w:pPr>
        <w:pStyle w:val="Heading2"/>
      </w:pPr>
      <w:r>
        <w:t>Preserve the inheritance scheme and its numbers</w:t>
      </w:r>
    </w:p>
    <w:p>
      <w:r>
        <w:t>Chapter 9 gives six stones to each brother, then offers Fang Yuan two hundred to establish a separate household prematurely. The age-sixteen inheritance rule and his current age of fifteen supply the scheme's logic. Do not change the age threshold or offer merely because the uncle's guardianship claim is being queried.</w:t>
      </w:r>
    </w:p>
    <w:p>
      <w:pPr>
        <w:pStyle w:val="Heading1"/>
      </w:pPr>
      <w:r>
        <w:t>10. Smaller textual and translation decisions</w:t>
      </w:r>
    </w:p>
    <w:p>
      <w:r>
        <w:t>These are separate from the mathematical harmonisations. They are not newly verified defects in the live English.</w:t>
      </w:r>
    </w:p>
    <w:p>
      <w:pPr>
        <w:pStyle w:val="Heading2"/>
      </w:pPr>
      <w:r>
        <w:t>SR-008: poem title, Chapter 1 p57</w:t>
      </w:r>
    </w:p>
    <w:p>
      <w:r>
        <w:t xml:space="preserve">The EPUB has </w:t>
      </w:r>
      <w:r>
        <w:rPr>
          <w:b/>
        </w:rPr>
        <w:t>《将敬酒》</w:t>
      </w:r>
      <w:r>
        <w:t xml:space="preserve">. Prefer the conventional poem title </w:t>
      </w:r>
      <w:r>
        <w:rPr>
          <w:b/>
        </w:rPr>
        <w:t>《将进酒》</w:t>
      </w:r>
      <w:r>
        <w:t xml:space="preserve"> in the working-source apparatus. In English, retain an established translation of that title if the edition already has one; a workable rendering is </w:t>
      </w:r>
      <w:r>
        <w:rPr>
          <w:b/>
        </w:rPr>
        <w:t>“Bring in the Wine”</w:t>
      </w:r>
      <w:r>
        <w:t>. Do not turn an orthographic repair into a mandatory change of an otherwise sound English title. Classification: contextual source-title correction, with high confidence.</w:t>
      </w:r>
    </w:p>
    <w:p>
      <w:pPr>
        <w:pStyle w:val="Heading2"/>
      </w:pPr>
      <w:r>
        <w:t>SR-009: ceremony, Chapter 1 p63</w:t>
      </w:r>
    </w:p>
    <w:p>
      <w:r>
        <w:t xml:space="preserve">The EPUB has </w:t>
      </w:r>
      <w:r>
        <w:rPr>
          <w:b/>
        </w:rPr>
        <w:t>开窍大殿</w:t>
      </w:r>
      <w:r>
        <w:t xml:space="preserve">, literally an awakening hall, in the instruction to rest for tomorrow's event. Prefer </w:t>
      </w:r>
      <w:r>
        <w:rPr>
          <w:b/>
        </w:rPr>
        <w:t>开窍大典</w:t>
      </w:r>
      <w:r>
        <w:t xml:space="preserve">, the awakening ceremony. Recommended English phrase: </w:t>
      </w:r>
      <w:r>
        <w:rPr>
          <w:b/>
        </w:rPr>
        <w:t>“tomorrow’s Awakening Ceremony”</w:t>
      </w:r>
      <w:r>
        <w:t>. The immediate event sequence strongly supports this repair. If the translation already says ceremony, leave it alone.</w:t>
      </w:r>
    </w:p>
    <w:p>
      <w:pPr>
        <w:pStyle w:val="Heading2"/>
      </w:pPr>
      <w:r>
        <w:t>SR-010: the uncle's question, Chapter 9 p17</w:t>
      </w:r>
    </w:p>
    <w:p>
      <w:r>
        <w:t xml:space="preserve">The EPUB has </w:t>
      </w:r>
      <w:r>
        <w:rPr>
          <w:b/>
        </w:rPr>
        <w:t>“方源，我的意向呢？”</w:t>
      </w:r>
      <w:r>
        <w:t xml:space="preserve">, literally asking about the speaker's own intention while turning to Fang Yuan for his answer. Prefer </w:t>
      </w:r>
      <w:r>
        <w:rPr>
          <w:b/>
        </w:rPr>
        <w:t>“方源，你的意向呢？”</w:t>
      </w:r>
      <w:r>
        <w:t xml:space="preserve"> in the working-source apparatus, and </w:t>
      </w:r>
      <w:r>
        <w:rPr>
          <w:b/>
        </w:rPr>
        <w:t>“Fang Yuan, what do you think?”</w:t>
      </w:r>
      <w:r>
        <w:t xml:space="preserve"> in English. This restores the question's clear conversational function without adding a motive or a new offer. Classification: high-confidence contextual repair, not an independently attested variant.</w:t>
      </w:r>
    </w:p>
    <w:p>
      <w:pPr>
        <w:pStyle w:val="Heading2"/>
      </w:pPr>
      <w:r>
        <w:t>SR-011: room-size comparison, Chapter 9 p43</w:t>
      </w:r>
    </w:p>
    <w:p>
      <w:r/>
      <w:r>
        <w:rPr>
          <w:b/>
        </w:rPr>
        <w:t>大上两倍</w:t>
      </w:r>
      <w:r>
        <w:t xml:space="preserve"> has competing readings in ordinary usage: twice as large, or larger by twice the original amount. No dimensions in this scene adjudicate the distinction. My working rendering is </w:t>
      </w:r>
      <w:r>
        <w:rPr>
          <w:b/>
        </w:rPr>
        <w:t>“The room was twice as large as his old one.”</w:t>
      </w:r>
      <w:r>
        <w:t xml:space="preserve"> Mark that as a translation choice of moderate confidence, not a proved numerical correction. Do not insist on “three times as large” purely from a mechanical parsing of the comparative. Reconsider only if another witness or a later dimension supplies firmer evidence.</w:t>
      </w:r>
    </w:p>
    <w:p>
      <w:pPr>
        <w:pStyle w:val="Heading2"/>
      </w:pPr>
      <w:r>
        <w:t>Other numbers to leave intact</w:t>
      </w:r>
    </w:p>
    <w:p>
      <w:pPr>
        <w:pStyle w:val="ListBullet"/>
      </w:pPr>
      <w:r>
        <w:t>Chapter 1's 三个时辰 is six hours; Chapter 3's 一个时辰多丁点 is slightly over two hours. Night watches are not equivalent to that same number of elapsed hours.</w:t>
      </w:r>
    </w:p>
    <w:p>
      <w:pPr>
        <w:pStyle w:val="ListBullet"/>
      </w:pPr>
      <w:r>
        <w:t>Rounded centuries and five-hundred-year life-history descriptions do not justify manufactured exact birthdays or a new lifespan total.</w:t>
      </w:r>
    </w:p>
    <w:p>
      <w:pPr>
        <w:pStyle w:val="ListBullet"/>
      </w:pPr>
      <w:r>
        <w:t>Chapter 4's 三两步 can mean a few strides. It should not become a fixed measurement used to calculate the river's width.</w:t>
      </w:r>
    </w:p>
    <w:p>
      <w:pPr>
        <w:pStyle w:val="ListBullet"/>
      </w:pPr>
      <w:r>
        <w:t>A general awakening rate of about sixty percent and a partial observed run of successes and failures do not constitute a statistical contradiction.</w:t>
      </w:r>
    </w:p>
    <w:p>
      <w:pPr>
        <w:pStyle w:val="ListBullet"/>
      </w:pPr>
      <w:r>
        <w:t>The ancient migration in Chapter 4 states origins and settlement, not an exact transit time. No shortening of the world's geography is warranted by this passage.</w:t>
      </w:r>
    </w:p>
    <w:p>
      <w:pPr>
        <w:pStyle w:val="ListBullet"/>
      </w:pPr>
      <w:r>
        <w:t>Chapter 9's accepted six-stone gift explains the six stones held in Chapter 10. The separate two-hundred-stone offer is refused; do not add it to Fang Yuan's funds.</w:t>
      </w:r>
    </w:p>
    <w:p>
      <w:pPr>
        <w:pStyle w:val="Heading1"/>
      </w:pPr>
      <w:r>
        <w:t>11. Proposal status and continuation point</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ID</w:t>
            </w:r>
          </w:p>
        </w:tc>
        <w:tc>
          <w:tcPr>
            <w:tcW w:type="dxa" w:w="3331"/>
          </w:tcPr>
          <w:p>
            <w:r>
              <w:t>Preferred action</w:t>
            </w:r>
          </w:p>
        </w:tc>
        <w:tc>
          <w:tcPr>
            <w:tcW w:type="dxa" w:w="3331"/>
          </w:tcPr>
          <w:p>
            <w:r>
              <w:t>Readiness</w:t>
            </w:r>
          </w:p>
        </w:tc>
      </w:tr>
      <w:tr>
        <w:tc>
          <w:tcPr>
            <w:tcW w:type="dxa" w:w="3331"/>
          </w:tcPr>
          <w:p>
            <w:r>
              <w:t>SR-001</w:t>
            </w:r>
          </w:p>
        </w:tc>
        <w:tc>
          <w:tcPr>
            <w:tcW w:type="dxa" w:w="3331"/>
          </w:tcPr>
          <w:p>
            <w:r>
              <w:t>Change exact height wording to capacity wording; preserve 44%.</w:t>
            </w:r>
          </w:p>
        </w:tc>
        <w:tc>
          <w:tcPr>
            <w:tcW w:type="dxa" w:w="3331"/>
          </w:tcPr>
          <w:p>
            <w:r>
              <w:t>Proposal ready for approval; later instances need individual treatment.</w:t>
            </w:r>
          </w:p>
        </w:tc>
      </w:tr>
      <w:tr>
        <w:tc>
          <w:tcPr>
            <w:tcW w:type="dxa" w:w="3331"/>
          </w:tcPr>
          <w:p>
            <w:r>
              <w:t>SR-002</w:t>
            </w:r>
          </w:p>
        </w:tc>
        <w:tc>
          <w:tcPr>
            <w:tcW w:type="dxa" w:w="3331"/>
          </w:tcPr>
          <w:p>
            <w:r>
              <w:t>Month → week; ten-plus days → first few days.</w:t>
            </w:r>
          </w:p>
        </w:tc>
        <w:tc>
          <w:tcPr>
            <w:tcW w:type="dxa" w:w="3331"/>
          </w:tcPr>
          <w:p>
            <w:r>
              <w:t>Strong proposal; check next batch for chronological dependencies.</w:t>
            </w:r>
          </w:p>
        </w:tc>
      </w:tr>
      <w:tr>
        <w:tc>
          <w:tcPr>
            <w:tcW w:type="dxa" w:w="3331"/>
          </w:tcPr>
          <w:p>
            <w:r>
              <w:t>SR-003</w:t>
            </w:r>
          </w:p>
        </w:tc>
        <w:tc>
          <w:tcPr>
            <w:tcW w:type="dxa" w:w="3331"/>
          </w:tcPr>
          <w:p>
            <w:r>
              <w:t>Fostering from three for twelve years.</w:t>
            </w:r>
          </w:p>
        </w:tc>
        <w:tc>
          <w:tcPr>
            <w:tcW w:type="dxa" w:w="3331"/>
          </w:tcPr>
          <w:p>
            <w:r>
              <w:t>Moderate-confidence harmonisation; childhood/witness checks outstanding.</w:t>
            </w:r>
          </w:p>
        </w:tc>
      </w:tr>
      <w:tr>
        <w:tc>
          <w:tcPr>
            <w:tcW w:type="dxa" w:w="3331"/>
          </w:tcPr>
          <w:p>
            <w:r>
              <w:t>SR-004</w:t>
            </w:r>
          </w:p>
        </w:tc>
        <w:tc>
          <w:tcPr>
            <w:tcW w:type="dxa" w:w="3331"/>
          </w:tcPr>
          <w:p>
            <w:r>
              <w:t>Chapter 2 casualty figure → ten million.</w:t>
            </w:r>
          </w:p>
        </w:tc>
        <w:tc>
          <w:tcPr>
            <w:tcW w:type="dxa" w:w="3331"/>
          </w:tcPr>
          <w:p>
            <w:r>
              <w:t>Preferred conjecture; later admission supports it, full sequence still provisional.</w:t>
            </w:r>
          </w:p>
        </w:tc>
      </w:tr>
      <w:tr>
        <w:tc>
          <w:tcPr>
            <w:tcW w:type="dxa" w:w="3331"/>
          </w:tcPr>
          <w:p>
            <w:r>
              <w:t>SR-005</w:t>
            </w:r>
          </w:p>
        </w:tc>
        <w:tc>
          <w:tcPr>
            <w:tcW w:type="dxa" w:w="3331"/>
          </w:tcPr>
          <w:p>
            <w:r>
              <w:t>有没有 → 又没有; preserve sensible negative English.</w:t>
            </w:r>
          </w:p>
        </w:tc>
        <w:tc>
          <w:tcPr>
            <w:tcW w:type="dxa" w:w="3331"/>
          </w:tcPr>
          <w:p>
            <w:r>
              <w:t>High contextual confidence; log source repair.</w:t>
            </w:r>
          </w:p>
        </w:tc>
      </w:tr>
      <w:tr>
        <w:tc>
          <w:tcPr>
            <w:tcW w:type="dxa" w:w="3331"/>
          </w:tcPr>
          <w:p>
            <w:r>
              <w:t>SR-006</w:t>
            </w:r>
          </w:p>
        </w:tc>
        <w:tc>
          <w:tcPr>
            <w:tcW w:type="dxa" w:w="3331"/>
          </w:tcPr>
          <w:p>
            <w:r>
              <w:t>八方 → 八分.</w:t>
            </w:r>
          </w:p>
        </w:tc>
        <w:tc>
          <w:tcPr>
            <w:tcW w:type="dxa" w:w="3331"/>
          </w:tcPr>
          <w:p>
            <w:r>
              <w:t>High-confidence local textual correction.</w:t>
            </w:r>
          </w:p>
        </w:tc>
      </w:tr>
      <w:tr>
        <w:tc>
          <w:tcPr>
            <w:tcW w:type="dxa" w:w="3331"/>
          </w:tcPr>
          <w:p>
            <w:r>
              <w:t>SR-007</w:t>
            </w:r>
          </w:p>
        </w:tc>
        <w:tc>
          <w:tcPr>
            <w:tcW w:type="dxa" w:w="3331"/>
          </w:tcPr>
          <w:p>
            <w:r>
              <w:t>Define capacity points and preserve separate denominators.</w:t>
            </w:r>
          </w:p>
        </w:tc>
        <w:tc>
          <w:tcPr>
            <w:tcW w:type="dxa" w:w="3331"/>
          </w:tcPr>
          <w:p>
            <w:r>
              <w:t>Recommended house policy; no numerical recoding.</w:t>
            </w:r>
          </w:p>
        </w:tc>
      </w:tr>
      <w:tr>
        <w:tc>
          <w:tcPr>
            <w:tcW w:type="dxa" w:w="3331"/>
          </w:tcPr>
          <w:p>
            <w:r>
              <w:t>SR-008–010</w:t>
            </w:r>
          </w:p>
        </w:tc>
        <w:tc>
          <w:tcPr>
            <w:tcW w:type="dxa" w:w="3331"/>
          </w:tcPr>
          <w:p>
            <w:r>
              <w:t>Repair the poem title, ceremony character, and addressee pronoun.</w:t>
            </w:r>
          </w:p>
        </w:tc>
        <w:tc>
          <w:tcPr>
            <w:tcW w:type="dxa" w:w="3331"/>
          </w:tcPr>
          <w:p>
            <w:r>
              <w:t>Contextual source-copy proposals; retain already-sensible English.</w:t>
            </w:r>
          </w:p>
        </w:tc>
      </w:tr>
      <w:tr>
        <w:tc>
          <w:tcPr>
            <w:tcW w:type="dxa" w:w="3331"/>
          </w:tcPr>
          <w:p>
            <w:r>
              <w:t>SR-011</w:t>
            </w:r>
          </w:p>
        </w:tc>
        <w:tc>
          <w:tcPr>
            <w:tcW w:type="dxa" w:w="3331"/>
          </w:tcPr>
          <w:p>
            <w:r>
              <w:t>Use “twice as large” as the working room-size rendering.</w:t>
            </w:r>
          </w:p>
        </w:tc>
        <w:tc>
          <w:tcPr>
            <w:tcW w:type="dxa" w:w="3331"/>
          </w:tcPr>
          <w:p>
            <w:r>
              <w:t>Translation choice, not a demonstrated numerical repair.</w:t>
            </w:r>
          </w:p>
        </w:tc>
      </w:tr>
    </w:tbl>
    <w:p>
      <w:r/>
      <w:r>
        <w:rPr>
          <w:b/>
        </w:rPr>
        <w:t>Next sequential chapter:</w:t>
      </w:r>
      <w:r>
        <w:t xml:space="preserve"> Volume 1, Chapter 11, </w:t>
      </w:r>
      <w:r>
        <w:rPr>
          <w:rFonts w:ascii="Consolas" w:hAnsi="Consolas"/>
          <w:sz w:val="18"/>
        </w:rPr>
        <w:t>OEBPS/Text/chapter19.html</w:t>
      </w:r>
      <w:r>
        <w:t>.</w:t>
      </w:r>
    </w:p>
    <w:p>
      <w:r/>
      <w:r>
        <w:rPr>
          <w:b/>
        </w:rPr>
        <w:t>Completed sequential reading:</w:t>
      </w:r>
      <w:r>
        <w:t xml:space="preserve"> 10 of 2,334 chapters.</w:t>
      </w:r>
    </w:p>
    <w:p>
      <w:r/>
      <w:r>
        <w:rPr>
          <w:b/>
        </w:rPr>
        <w:t>Remaining:</w:t>
      </w:r>
      <w:r>
        <w:t xml:space="preserve"> 2,324 chapters.</w:t>
      </w:r>
    </w:p>
    <w:p>
      <w:r/>
      <w:r>
        <w:rPr>
          <w:b/>
        </w:rPr>
        <w:t>Next planned batch:</w:t>
      </w:r>
      <w:r>
        <w:t xml:space="preserve"> Chapters 11–20.</w:t>
      </w:r>
    </w:p>
    <w:p>
      <w:r>
        <w:t>A chapter will enter the completed register only after its full source paragraph sequence has been read. A keyword hit, a chapter opening, or a previously inspected excerpt will not be counted as a completed chapter.</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CHAPTERS 1–10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 1–10</dc:title>
  <dc:subject>Complete paragraph-by-paragraph source reading of Chapters 1–10; proposals not applied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