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Getting the Numbers Right</w:t>
      </w:r>
    </w:p>
    <w:p>
      <w:pPr>
        <w:pStyle w:val="Heading1"/>
      </w:pPr>
      <w:r>
        <w:t>Mathematical corrections in The Omniarch’s Reverend Insanity translation</w:t>
      </w:r>
    </w:p>
    <w:p>
      <w:r/>
      <w:r>
        <w:rPr>
          <w:b/>
        </w:rPr>
        <w:t>An editorial article for The Omniarch</w:t>
      </w:r>
      <w:r/>
    </w:p>
    <w:p>
      <w:r/>
      <w:r>
        <w:rPr>
          <w:b/>
        </w:rPr>
        <w:t>13 October 2026</w:t>
      </w:r>
      <w:r/>
    </w:p>
    <w:p>
      <w:r/>
      <w:r>
        <w:rPr>
          <w:b/>
        </w:rPr>
        <w:t>Publication status:</w:t>
      </w:r>
      <w:r>
        <w:t xml:space="preserve"> Draft for approval. This article proposes a source-led correction policy. It distinguishes verified arithmetic from unresolved emendations and does not claim that later-chapter changes have already been published.</w:t>
      </w:r>
    </w:p>
    <w:p>
      <w:pPr>
        <w:pStyle w:val="Heading1"/>
      </w:pPr>
      <w:r>
        <w:t>Fidelity includes the numbers</w:t>
      </w:r>
    </w:p>
    <w:p>
      <w:r>
        <w:t>A translation can preserve a character’s voice and still distort the world around them. A missing qualifier can turn an ordinary cultivation limit into an absolute law. A confused percentage can magnify a quantity a hundredfold. An incorrect unit conversion can change the apparent size of an entire continent.</w:t>
      </w:r>
    </w:p>
    <w:p>
      <w:r>
        <w:t>For The Omniarch’s translation of Reverend Insanity, numerical accuracy deserves the same care as dialogue, imagery, and terminology. But that care must work in both directions. We should correct demonstrable mistakes without replacing the novel’s strange and sometimes inconsistent world with a tidier system of our own invention.</w:t>
      </w:r>
    </w:p>
    <w:p>
      <w:r>
        <w:t>Our proposed approach is therefore straightforward: correct the arithmetic that can be demonstrated, preserve the distinctions the source makes, and disclose any intervention that changes a source number rather than merely translating it accurately.</w:t>
      </w:r>
    </w:p>
    <w:p>
      <w:r>
        <w:t>Some corrections discussed here concern our editorial calculations and explanatory material, not errors in the Chinese novel. That distinction matters. Discovering a mistake in a proposed repair does not establish a mistake in the story.</w:t>
      </w:r>
    </w:p>
    <w:p>
      <w:pPr>
        <w:pStyle w:val="Heading1"/>
      </w:pPr>
      <w:r>
        <w:t>1. Percentages need an explicit reference point</w:t>
      </w:r>
    </w:p>
    <w:p>
      <w:r>
        <w:t>The first question to ask of any percentage is: a percentage of what?</w:t>
      </w:r>
    </w:p>
    <w:p>
      <w:r>
        <w:t>Fang Yuan’s 44% aptitude describes his personal storage limit relative to the aperture’s full capacity. It does not mean that all Grade C cultivators have a 44% ceiling. The source later explicitly places Grade C capacity between 40% and 59%.[1]</w:t>
      </w:r>
    </w:p>
    <w:p>
      <w:r>
        <w:t>The opening translation now makes this personal limitation clear. That is a clarification of reference, not a change to Fang Yuan’s aptitude.</w:t>
      </w:r>
    </w:p>
    <w:p>
      <w:r>
        <w:t>Recovery figures require the same discipline. Chapter 10 gives Fang Yuan approximately four percentage points per hour and Fang Zheng eight, producing twenty-four and forty-eight points over six hours. These quantities should be understood against the stated capacity scale, not silently reinterpreted as percentages of the essence currently remaining.[2]</w:t>
      </w:r>
    </w:p>
    <w:p>
      <w:r>
        <w:t>For illustration, adding four percentage points to a level of 20% gives 24%. Increasing that same 20% level by four percent gives 20.8%. Those are different operations.</w:t>
      </w:r>
    </w:p>
    <w:p>
      <w:r>
        <w:t>The correction policy is to make the denominator clear where the English would otherwise be misleading. It is not to invent an exact universal recovery formula. The observed rates do not establish that every cultivator recovers precisely one tenth of their personal maximum each hour. Applying that unproved formula to Fang Yuan would produce 4.4 points per hour and 26.4 over six hours, replacing the source’s approximate account with an editorial calculation.</w:t>
      </w:r>
    </w:p>
    <w:p>
      <w:r>
        <w:t>The familiar whole-number aptitude bands will likewise be distinguished from a new decimal measurement system. Their presentation does not authorise us to invent readings at arbitrary fractional precision.</w:t>
      </w:r>
    </w:p>
    <w:p>
      <w:pPr>
        <w:pStyle w:val="Heading1"/>
      </w:pPr>
      <w:r>
        <w:t>2. “Usually” is part of the cultivation system</w:t>
      </w:r>
    </w:p>
    <w:p>
      <w:r>
        <w:t>Numerical fidelity is not confined to digits. Words such as “usually”, “at least”, “more than”, and “approximately” determine what a number actually claims.</w:t>
      </w:r>
    </w:p>
    <w:p>
      <w:r>
        <w:t>Chapter 7 describes Grade D cultivators as usually reaching no higher than the first or second revolution. Removing that qualification converts an ordinary outcome into an exceptionless barrier. The opening translation now restores “usually”.[3]</w:t>
      </w:r>
    </w:p>
    <w:p>
      <w:r>
        <w:t>The same restraint applies to breakthrough requirements. The source supports an ordinary 55% requirement for the first-to-second-revolution breakthrough in the particular essence context it describes, while allowing special circumstances. It does not establish a universal ladder of 55%, 65%, 75%, and 85% for successive revolutions.[4]</w:t>
      </w:r>
    </w:p>
    <w:p>
      <w:r>
        <w:t>Nor should Fang Yuan’s stone-assisted breakthrough become a general promise that sufficient stones can overcome every aptitude barrier in a few days. His successful attempt takes four days and three nights and depends on experience, sustained effort, and careful control. Elsewhere, the source explicitly says that his earlier-life second-to-third-revolution bottleneck lasted over a hundred years and ended after he obtained a Gu that raised his aptitude.[4]</w:t>
      </w:r>
    </w:p>
    <w:p>
      <w:r>
        <w:t>These accounts concern different circumstances. Preserving their distinctions is more faithful than forcing them into a single elegant formula.</w:t>
      </w:r>
    </w:p>
    <w:p>
      <w:pPr>
        <w:pStyle w:val="Heading1"/>
      </w:pPr>
      <w:r>
        <w:t>3. Liquor Worm: expenditure is not potency</w:t>
      </w:r>
    </w:p>
    <w:p>
      <w:r>
        <w:t>One of the most important corrections concerns how the Liquor Worm’s process is explained.</w:t>
      </w:r>
    </w:p>
    <w:p>
      <w:r>
        <w:t>The checked passages describe ten units of initial-stage essence being consumed to create wine mist. A further ten units are processed through that mist and reduced to five units of middle-stage essence.[5]</w:t>
      </w:r>
    </w:p>
    <w:p>
      <w:r>
        <w:t>There are therefore two different ratios:</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r>
              <w:t>Quantity being compared</w:t>
            </w:r>
          </w:p>
        </w:tc>
        <w:tc>
          <w:tcPr>
            <w:tcW w:type="dxa" w:w="3331"/>
          </w:tcPr>
          <w:p>
            <w:r>
              <w:t>Calculation</w:t>
            </w:r>
          </w:p>
        </w:tc>
        <w:tc>
          <w:tcPr>
            <w:tcW w:type="dxa" w:w="3331"/>
          </w:tcPr>
          <w:p>
            <w:r>
              <w:t>Result</w:t>
            </w:r>
          </w:p>
        </w:tc>
      </w:tr>
      <w:tr>
        <w:trPr>
          <w:cantSplit/>
        </w:trPr>
        <w:tc>
          <w:tcPr>
            <w:tcW w:type="dxa" w:w="3331"/>
          </w:tcPr>
          <w:p>
            <w:r>
              <w:t>Total initial-stage expenditure to middle-stage output</w:t>
            </w:r>
          </w:p>
        </w:tc>
        <w:tc>
          <w:tcPr>
            <w:tcW w:type="dxa" w:w="3331"/>
          </w:tcPr>
          <w:p>
            <w:r>
              <w:t>(10 + 10) ÷ 5</w:t>
            </w:r>
          </w:p>
        </w:tc>
        <w:tc>
          <w:tcPr>
            <w:tcW w:type="dxa" w:w="3331"/>
          </w:tcPr>
          <w:p>
            <w:r>
              <w:t>4:1</w:t>
            </w:r>
          </w:p>
        </w:tc>
      </w:tr>
      <w:tr>
        <w:trPr>
          <w:cantSplit/>
        </w:trPr>
        <w:tc>
          <w:tcPr>
            <w:tcW w:type="dxa" w:w="3331"/>
          </w:tcPr>
          <w:p>
            <w:r>
              <w:t>Processed initial-stage volume to resulting middle-stage volume</w:t>
            </w:r>
          </w:p>
        </w:tc>
        <w:tc>
          <w:tcPr>
            <w:tcW w:type="dxa" w:w="3331"/>
          </w:tcPr>
          <w:p>
            <w:r>
              <w:t>10 ÷ 5</w:t>
            </w:r>
          </w:p>
        </w:tc>
        <w:tc>
          <w:tcPr>
            <w:tcW w:type="dxa" w:w="3331"/>
          </w:tcPr>
          <w:p>
            <w:r>
              <w:t>2:1</w:t>
            </w:r>
          </w:p>
        </w:tc>
      </w:tr>
    </w:tbl>
    <w:p>
      <w:r>
        <w:t>Both calculations are correct. They answer different questions.</w:t>
      </w:r>
    </w:p>
    <w:p>
      <w:r>
        <w:t>The first ten units power the process. Counting that overhead as though it were all retained in the output creates an unsupported potency claim. A process costing four units to produce one unit does not, by itself, prove that the product is four times as powerful in every application.</w:t>
      </w:r>
    </w:p>
    <w:p>
      <w:r>
        <w:t>A later activation example gives another useful distinction: ten points of middle-stage essence correspond to twenty points of initial-stage essence for that specific Gu activation.[5] That supports a 2:1 expenditure equivalence in that context. It does not establish a universal twofold law governing every stage, every Gu, and every effect.</w:t>
      </w:r>
    </w:p>
    <w:p>
      <w:r>
        <w:t>Our explanatory material should therefore keep four quantities separate: processing expenditure, resulting volume, activation cost, and effect. We will not use one as a substitute for another unless the source supplies the relationship.</w:t>
      </w:r>
    </w:p>
    <w:p>
      <w:pPr>
        <w:pStyle w:val="Heading1"/>
      </w:pPr>
      <w:r>
        <w:t>4. A percentage is not a multiplier</w:t>
      </w:r>
    </w:p>
    <w:p>
      <w:r>
        <w:t>A basic arithmetic correction in the earlier proposed framework is unambiguous:</w:t>
      </w:r>
    </w:p>
    <w:p>
      <w:pPr>
        <w:pStyle w:val="Quote"/>
      </w:pPr>
      <w:r>
        <w:t>6,400% of a quantity is 64 times that quantity, not 6,400 times.</w:t>
      </w:r>
    </w:p>
    <w:p>
      <w:r>
        <w:t>The percentage sign means division by one hundred. If a hypothetical model multiplies a quantity by four across three transitions, the result is:</w:t>
      </w:r>
    </w:p>
    <w:p>
      <w:pPr>
        <w:pStyle w:val="Quote"/>
      </w:pPr>
      <w:r>
        <w:t>4 × 4 × 4 = 64 = 6,400% of the starting quantity.</w:t>
      </w:r>
    </w:p>
    <w:p>
      <w:r>
        <w:t>This demonstrates the notation. It does not validate the hypothetical fourfold-per-stage model.</w:t>
      </w:r>
    </w:p>
    <w:p>
      <w:r>
        <w:t>It also does not justify replacing every occurrence of 10,000 with 6,400. The novel’s immortal-essence accounting explicitly supplies a different relationship in which one hundred multiplied by one hundred gives ten thousand.[6] An unsupported mortal-stage model cannot overrule a separately stated immortal system.</w:t>
      </w:r>
    </w:p>
    <w:p>
      <w:r>
        <w:t>The intended correction is to remove the mistaken equivalence from the editorial framework and check any disputed passage individually. It is not a global replacement operation on the novel.</w:t>
      </w:r>
    </w:p>
    <w:p>
      <w:r>
        <w:t>The progression from initial to middle to upper to peak also contains three within-revolution transitions, not four. Four named stages do not create four gaps between them. Any cultivation schedule based on transition counts must start from that elementary distinction, while still obtaining its durations from the source rather than inventing them.</w:t>
      </w:r>
    </w:p>
    <w:p>
      <w:pPr>
        <w:pStyle w:val="Heading1"/>
      </w:pPr>
      <w:r>
        <w:t>5. Faster does not mean equally shorter</w:t>
      </w:r>
    </w:p>
    <w:p>
      <w:r>
        <w:t>The distinction between rate and duration is another place where natural-sounding English can conceal bad arithmetic.</w:t>
      </w:r>
    </w:p>
    <w:p>
      <w:r>
        <w:t>If a fixed task proceeds at a constant rate that is 30% faster, the new rate is 1.3 times the old rate. The new duration is therefore:</w:t>
      </w:r>
    </w:p>
    <w:p>
      <w:pPr>
        <w:pStyle w:val="Quote"/>
      </w:pPr>
      <w:r>
        <w:t>New duration = old duration ÷ 1.3 ≈ 76.92% of the old duration.</w:t>
      </w:r>
    </w:p>
    <w:p>
      <w:r>
        <w:t>The reduction in time is approximately 23.08%, not 30%.</w:t>
      </w:r>
    </w:p>
    <w:p>
      <w:r>
        <w:t>A later tempering passage describes an increase in speed of this kind.[7] The safe translation preserves the rate claim. It should not silently turn it into an equal percentage reduction in duration.</w:t>
      </w:r>
    </w:p>
    <w:p>
      <w:r>
        <w:t>The constant-rate assumption is essential to the explanatory calculation. If the process changes rate over time, the passage would need more information before a precise duration could be derived. The translation should not supply that missing model.</w:t>
      </w:r>
    </w:p>
    <w:p>
      <w:pPr>
        <w:pStyle w:val="Heading1"/>
      </w:pPr>
      <w:r>
        <w:t>6. Unit conversion is not permission to resize the world</w:t>
      </w:r>
    </w:p>
    <w:p>
      <w:r>
        <w:t>Reverend Insanity’s geography is enormous. That alone does not establish an error in translation.</w:t>
      </w:r>
    </w:p>
    <w:p>
      <w:r>
        <w:t>The supplied Chinese text describes Central Continent as extending for one hundred million li. Under a stated modern convention of one li equalling half a kilometre, this converts to fifty million kilometres.[8]</w:t>
      </w:r>
    </w:p>
    <w:p>
      <w:r>
        <w:t>The scale is present in the source. Reducing it to fifty thousand kilometres would shrink the linear expression by a factor of one thousand. That would be a deliberate adaptation, not the correction of a mistranslated Chinese numeral.</w:t>
      </w:r>
    </w:p>
    <w:p>
      <w:r>
        <w:t>The passage also describes extent, not an explicitly measured circular diameter. We should not quietly turn it into a geometrical specification and then criticise the resulting area as though the source had supplied that shape.</w:t>
      </w:r>
    </w:p>
    <w:p>
      <w:r>
        <w:t>Nevertheless, when an editorial comparison does assume a circle, its arithmetic must be correct:</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r>
              <w:t>Hypothetical circular model</w:t>
            </w:r>
          </w:p>
        </w:tc>
        <w:tc>
          <w:tcPr>
            <w:tcW w:type="dxa" w:w="4997"/>
          </w:tcPr>
          <w:p>
            <w:r>
              <w:t>Correct area</w:t>
            </w:r>
          </w:p>
        </w:tc>
      </w:tr>
      <w:tr>
        <w:trPr>
          <w:cantSplit/>
        </w:trPr>
        <w:tc>
          <w:tcPr>
            <w:tcW w:type="dxa" w:w="4997"/>
          </w:tcPr>
          <w:p>
            <w:r>
              <w:t>Diameter of 50,000 km</w:t>
            </w:r>
          </w:p>
        </w:tc>
        <w:tc>
          <w:tcPr>
            <w:tcW w:type="dxa" w:w="4997"/>
          </w:tcPr>
          <w:p>
            <w:r>
              <w:t>Approximately 1.9635 billion km²</w:t>
            </w:r>
          </w:p>
        </w:tc>
      </w:tr>
      <w:tr>
        <w:trPr>
          <w:cantSplit/>
        </w:trPr>
        <w:tc>
          <w:tcPr>
            <w:tcW w:type="dxa" w:w="4997"/>
          </w:tcPr>
          <w:p>
            <w:r>
              <w:t>Radius of 50,000 km</w:t>
            </w:r>
          </w:p>
        </w:tc>
        <w:tc>
          <w:tcPr>
            <w:tcW w:type="dxa" w:w="4997"/>
          </w:tcPr>
          <w:p>
            <w:r>
              <w:t>Approximately 7.8540 billion km²</w:t>
            </w:r>
          </w:p>
        </w:tc>
      </w:tr>
      <w:tr>
        <w:trPr>
          <w:cantSplit/>
        </w:trPr>
        <w:tc>
          <w:tcPr>
            <w:tcW w:type="dxa" w:w="4997"/>
          </w:tcPr>
          <w:p>
            <w:r>
              <w:t>Diameter of 50 million km</w:t>
            </w:r>
          </w:p>
        </w:tc>
        <w:tc>
          <w:tcPr>
            <w:tcW w:type="dxa" w:w="4997"/>
          </w:tcPr>
          <w:p>
            <w:r>
              <w:t>Approximately 1.9635 quadrillion km²</w:t>
            </w:r>
          </w:p>
        </w:tc>
      </w:tr>
    </w:tbl>
    <w:p>
      <w:r>
        <w:t>These are worked models, not canonical maps. Confusing radius and diameter changes circular area by a factor of four. Changing a linear scale by one thousand changes area by one million when the shape is held constant.</w:t>
      </w:r>
    </w:p>
    <w:p>
      <w:r>
        <w:t>Northern Plains supplies a separate conversion example. The source gives more than eight trillion mu. Under the modern convention of 1,500 mu per square kilometre, that means more than approximately 5.333 billion square kilometres.[8] Five billion may serve as a rough summary, but it is not the exact converted value.</w:t>
      </w:r>
    </w:p>
    <w:p>
      <w:r>
        <w:t>Southern Border’s comparison with seven or eight Earths likewise includes a comparative claim: it is vaster than their combined area. An approximate comparison should not become an exact survey.</w:t>
      </w:r>
    </w:p>
    <w:p>
      <w:r>
        <w:t>Our policy should be to declare the unit convention, preserve inequalities and approximations, and avoid publishing a precise total area for the entire world without adequate source data.</w:t>
      </w:r>
    </w:p>
    <w:p>
      <w:pPr>
        <w:pStyle w:val="Heading1"/>
      </w:pPr>
      <w:r>
        <w:t>7. A genuine contradiction can still have an uncertain repair</w:t>
      </w:r>
    </w:p>
    <w:p>
      <w:r>
        <w:t>Chapter 22 supplies a particularly useful test of editorial restraint. A student is described as Grade C while possessing a 38% reserve. The explicit Grade C range elsewhere begins at 40%.[9]</w:t>
      </w:r>
    </w:p>
    <w:p>
      <w:r>
        <w:t>The inconsistency is real. The intended replacement is not yet established.</w:t>
      </w:r>
    </w:p>
    <w:p>
      <w:r>
        <w:t>Changing the grade to D would fit 38%, but the scene places Grade D students among those watching rather than among the Moonlight Gu practitioners under discussion. Changing the numerical reading to 48%, with a corresponding four-attack allowance under the scene’s stated cost, is another possible harmonisation. It has not been established as a recovered reading from a corrected witness.</w:t>
      </w:r>
    </w:p>
    <w:p>
      <w:r>
        <w:t>The distinction is crucial: identifying an impossible combination does not tell us which component was corrupted.</w:t>
      </w:r>
    </w:p>
    <w:p>
      <w:r>
        <w:t>Any adopted repair should therefore be recorded as a conjectural emendation, with the original wording, the replacement, the supporting context, and the consequences for the rest of the scene. Until a decision is approved, this article does not announce either candidate as settled policy.</w:t>
      </w:r>
    </w:p>
    <w:p>
      <w:pPr>
        <w:pStyle w:val="Heading1"/>
      </w:pPr>
      <w:r>
        <w:t>8. What this policy will not do</w:t>
      </w:r>
    </w:p>
    <w:p>
      <w:r>
        <w:t>Mathematical editing should not become retrospective system design.</w:t>
      </w:r>
    </w:p>
    <w:p>
      <w:r>
        <w:t>We will not infer a complete cultivation law from two recovery examples, convert a particular Gu’s cost into a universal activation price, or rewrite population totals by assuming that a fantasy region has modern Earth’s average population density. We will not erase exceptional cultivation histories merely because they fall outside a simplified table.</w:t>
      </w:r>
    </w:p>
    <w:p>
      <w:r>
        <w:t>Likewise, a spherical aperture creates a genuine question when one passage describes essence by height and another by volume. The same percentage of height and volume are not interchangeable in a sphere. That observation warrants a source query. It does not authorise inserting a newly calculated liquid level without first settling what the passage means.[10]</w:t>
      </w:r>
    </w:p>
    <w:p>
      <w:r>
        <w:t>Some source discrepancies may be retained with an editorial note. A translation is not necessarily defective because it preserves a contradiction that the evidence does not allow us to resolve honestly.</w:t>
      </w:r>
    </w:p>
    <w:p>
      <w:pPr>
        <w:pStyle w:val="Heading1"/>
      </w:pPr>
      <w:r>
        <w:t>A transparent correction standard</w:t>
      </w:r>
    </w:p>
    <w:p>
      <w:r>
        <w:t>Each substantive numerical intervention should answer five questions:</w:t>
      </w:r>
    </w:p>
    <w:p>
      <w:pPr>
        <w:pStyle w:val="ListNumber"/>
      </w:pPr>
      <w:r>
        <w:t>What does the designated Chinese text say?</w:t>
      </w:r>
    </w:p>
    <w:p>
      <w:pPr>
        <w:pStyle w:val="ListNumber"/>
      </w:pPr>
      <w:r>
        <w:t>Is the problem translation, calculation, ambiguous scope, or a conflict within the source?</w:t>
      </w:r>
    </w:p>
    <w:p>
      <w:pPr>
        <w:pStyle w:val="ListNumber"/>
      </w:pPr>
      <w:r>
        <w:t>What independent evidence supports the proposed replacement?</w:t>
      </w:r>
    </w:p>
    <w:p>
      <w:pPr>
        <w:pStyle w:val="ListNumber"/>
      </w:pPr>
      <w:r>
        <w:t>Does the replacement affect another scene or rule?</w:t>
      </w:r>
    </w:p>
    <w:p>
      <w:pPr>
        <w:pStyle w:val="ListNumber"/>
      </w:pPr>
      <w:r>
        <w:t>Is the result a correction, a clarification, or an acknowledged adaptation?</w:t>
      </w:r>
    </w:p>
    <w:p>
      <w:r>
        <w:t>The final record should distinguish a planned change from an approved one and an approved change from a verified publication. Mathematical correctness on a worksheet is not evidence that the intended sentence has reached the live chapter.</w:t>
      </w:r>
    </w:p>
    <w:p>
      <w:r>
        <w:t>The aim is not to make every number in Reverend Insanity small, realistic, or perfectly systematic. It is to make our handling of those numbers defensible. We should correct what we can prove, explain what we infer, and preserve uncertainty where the evidence stops.</w:t>
      </w:r>
    </w:p>
    <w:p>
      <w:r>
        <w:t>That is how numerical editing can strengthen fidelity rather than compete with it.</w:t>
      </w:r>
    </w:p>
    <w:p>
      <w:pPr>
        <w:pStyle w:val="Heading1"/>
        <w:pageBreakBefore/>
      </w:pPr>
      <w:r>
        <w:t>Source notes</w:t>
      </w:r>
    </w:p>
    <w:p>
      <w:r>
        <w:t>These notes refer to the supplied EPUB, not an authenticated final authorial manuscript. Chapter references use the printed volume and chapter numbers; EPUB filenames are included because file numbering does not consistently equal narrative chapter numbering. Modern li and mu conversions above are declared conventions, not claims about every historical use of those units.</w:t>
      </w:r>
    </w:p>
    <w:p>
      <w:r/>
      <w:r>
        <w:rPr>
          <w:b/>
        </w:rPr>
        <w:t>[1] Aptitude:</w:t>
      </w:r>
      <w:r>
        <w:t xml:space="preserve"> Volume 1, Chapter 6, </w:t>
      </w:r>
      <w:r>
        <w:rPr>
          <w:rFonts w:ascii="Consolas" w:hAnsi="Consolas"/>
          <w:sz w:val="18"/>
        </w:rPr>
        <w:t>chapter14.html</w:t>
      </w:r>
      <w:r>
        <w:t xml:space="preserve">; Chapter 91, </w:t>
      </w:r>
      <w:r>
        <w:rPr>
          <w:rFonts w:ascii="Consolas" w:hAnsi="Consolas"/>
          <w:sz w:val="18"/>
        </w:rPr>
        <w:t>chapter99.html</w:t>
      </w:r>
      <w:r>
        <w:t xml:space="preserve">; Chapter 135, </w:t>
      </w:r>
      <w:r>
        <w:rPr>
          <w:rFonts w:ascii="Consolas" w:hAnsi="Consolas"/>
          <w:sz w:val="18"/>
        </w:rPr>
        <w:t>chapter143.html</w:t>
      </w:r>
      <w:r>
        <w:t>. The latter also supports the distinction between 99% Grade A and the full 100% condition discussed for Ten Extreme physiques.</w:t>
      </w:r>
    </w:p>
    <w:p>
      <w:r/>
      <w:r>
        <w:rPr>
          <w:b/>
        </w:rPr>
        <w:t>[2] Recovery:</w:t>
      </w:r>
      <w:r>
        <w:t xml:space="preserve"> Volume 1, Chapter 10, </w:t>
      </w:r>
      <w:r>
        <w:rPr>
          <w:rFonts w:ascii="Consolas" w:hAnsi="Consolas"/>
          <w:sz w:val="18"/>
        </w:rPr>
        <w:t>chapter18.html</w:t>
      </w:r>
      <w:r>
        <w:t xml:space="preserve">; Chapter 50, </w:t>
      </w:r>
      <w:r>
        <w:rPr>
          <w:rFonts w:ascii="Consolas" w:hAnsi="Consolas"/>
          <w:sz w:val="18"/>
        </w:rPr>
        <w:t>chapter58.html</w:t>
      </w:r>
      <w:r>
        <w:t>.</w:t>
      </w:r>
    </w:p>
    <w:p>
      <w:r/>
      <w:r>
        <w:rPr>
          <w:b/>
        </w:rPr>
        <w:t>[3] Qualified Grade D ceiling:</w:t>
      </w:r>
      <w:r>
        <w:t xml:space="preserve"> Volume 1, Chapter 7, </w:t>
      </w:r>
      <w:r>
        <w:rPr>
          <w:rFonts w:ascii="Consolas" w:hAnsi="Consolas"/>
          <w:sz w:val="18"/>
        </w:rPr>
        <w:t>chapter15.html</w:t>
      </w:r>
      <w:r>
        <w:t>, including 往往.</w:t>
      </w:r>
    </w:p>
    <w:p>
      <w:r/>
      <w:r>
        <w:rPr>
          <w:b/>
        </w:rPr>
        <w:t>[4] Breakthroughs and bottleneck:</w:t>
      </w:r>
      <w:r>
        <w:t xml:space="preserve"> Volume 1, Chapters 90–92, </w:t>
      </w:r>
      <w:r>
        <w:rPr>
          <w:rFonts w:ascii="Consolas" w:hAnsi="Consolas"/>
          <w:sz w:val="18"/>
        </w:rPr>
        <w:t>chapter98.html</w:t>
      </w:r>
      <w:r>
        <w:t xml:space="preserve"> through </w:t>
      </w:r>
      <w:r>
        <w:rPr>
          <w:rFonts w:ascii="Consolas" w:hAnsi="Consolas"/>
          <w:sz w:val="18"/>
        </w:rPr>
        <w:t>chapter100.html</w:t>
      </w:r>
      <w:r>
        <w:t xml:space="preserve">; Chapter 105, </w:t>
      </w:r>
      <w:r>
        <w:rPr>
          <w:rFonts w:ascii="Consolas" w:hAnsi="Consolas"/>
          <w:sz w:val="18"/>
        </w:rPr>
        <w:t>chapter113.html</w:t>
      </w:r>
      <w:r>
        <w:t xml:space="preserve">; Chapter 148, </w:t>
      </w:r>
      <w:r>
        <w:rPr>
          <w:rFonts w:ascii="Consolas" w:hAnsi="Consolas"/>
          <w:sz w:val="18"/>
        </w:rPr>
        <w:t>chapter156.html</w:t>
      </w:r>
      <w:r>
        <w:t>.</w:t>
      </w:r>
    </w:p>
    <w:p>
      <w:r/>
      <w:r>
        <w:rPr>
          <w:b/>
        </w:rPr>
        <w:t>[5] Liquor Worm and activation expenditure:</w:t>
      </w:r>
      <w:r>
        <w:t xml:space="preserve"> Volume 1, Chapter 29, </w:t>
      </w:r>
      <w:r>
        <w:rPr>
          <w:rFonts w:ascii="Consolas" w:hAnsi="Consolas"/>
          <w:sz w:val="18"/>
        </w:rPr>
        <w:t>chapter37.html</w:t>
      </w:r>
      <w:r>
        <w:t xml:space="preserve">; Chapter 34, </w:t>
      </w:r>
      <w:r>
        <w:rPr>
          <w:rFonts w:ascii="Consolas" w:hAnsi="Consolas"/>
          <w:sz w:val="18"/>
        </w:rPr>
        <w:t>chapter42.html</w:t>
      </w:r>
      <w:r>
        <w:t xml:space="preserve">; Chapter 62, </w:t>
      </w:r>
      <w:r>
        <w:rPr>
          <w:rFonts w:ascii="Consolas" w:hAnsi="Consolas"/>
          <w:sz w:val="18"/>
        </w:rPr>
        <w:t>chapter70.html</w:t>
      </w:r>
      <w:r>
        <w:t>.</w:t>
      </w:r>
    </w:p>
    <w:p>
      <w:r/>
      <w:r>
        <w:rPr>
          <w:b/>
        </w:rPr>
        <w:t>[6] Immortal essence:</w:t>
      </w:r>
      <w:r>
        <w:t xml:space="preserve"> Volume 5, Chapter 185, </w:t>
      </w:r>
      <w:r>
        <w:rPr>
          <w:rFonts w:ascii="Consolas" w:hAnsi="Consolas"/>
          <w:sz w:val="18"/>
        </w:rPr>
        <w:t>chapter1226.html</w:t>
      </w:r>
      <w:r>
        <w:t xml:space="preserve">; Chapter 627, </w:t>
      </w:r>
      <w:r>
        <w:rPr>
          <w:rFonts w:ascii="Consolas" w:hAnsi="Consolas"/>
          <w:sz w:val="18"/>
        </w:rPr>
        <w:t>chapter1666.html</w:t>
      </w:r>
      <w:r>
        <w:t>. These relationships must not be conflated with mortal-stage processing overhead.</w:t>
      </w:r>
    </w:p>
    <w:p>
      <w:r/>
      <w:r>
        <w:rPr>
          <w:b/>
        </w:rPr>
        <w:t>[7] Tempering rate:</w:t>
      </w:r>
      <w:r>
        <w:t xml:space="preserve"> Volume 2, Chapter 155, </w:t>
      </w:r>
      <w:r>
        <w:rPr>
          <w:rFonts w:ascii="Consolas" w:hAnsi="Consolas"/>
          <w:sz w:val="18"/>
        </w:rPr>
        <w:t>chapter362.html</w:t>
      </w:r>
      <w:r>
        <w:t>. The same passage’s 铜汁 concerns molten copper.</w:t>
      </w:r>
    </w:p>
    <w:p>
      <w:r/>
      <w:r>
        <w:rPr>
          <w:b/>
        </w:rPr>
        <w:t>[8] Geography:</w:t>
      </w:r>
      <w:r>
        <w:t xml:space="preserve"> Southern Border, Volume 1, Chapter 29, </w:t>
      </w:r>
      <w:r>
        <w:rPr>
          <w:rFonts w:ascii="Consolas" w:hAnsi="Consolas"/>
          <w:sz w:val="18"/>
        </w:rPr>
        <w:t>chapter37.html</w:t>
      </w:r>
      <w:r>
        <w:t xml:space="preserve">; Central Continent, Volume 2, Chapter 135, </w:t>
      </w:r>
      <w:r>
        <w:rPr>
          <w:rFonts w:ascii="Consolas" w:hAnsi="Consolas"/>
          <w:sz w:val="18"/>
        </w:rPr>
        <w:t>chapter342.html</w:t>
      </w:r>
      <w:r>
        <w:t xml:space="preserve">; Northern Plains, Volume 4, Chapter 88, </w:t>
      </w:r>
      <w:r>
        <w:rPr>
          <w:rFonts w:ascii="Consolas" w:hAnsi="Consolas"/>
          <w:sz w:val="18"/>
        </w:rPr>
        <w:t>chapter754.html</w:t>
      </w:r>
      <w:r>
        <w:t>.</w:t>
      </w:r>
    </w:p>
    <w:p>
      <w:r/>
      <w:r>
        <w:rPr>
          <w:b/>
        </w:rPr>
        <w:t>[9] Grade C/38%:</w:t>
      </w:r>
      <w:r>
        <w:t xml:space="preserve"> Volume 1, Chapter 22, </w:t>
      </w:r>
      <w:r>
        <w:rPr>
          <w:rFonts w:ascii="Consolas" w:hAnsi="Consolas"/>
          <w:sz w:val="18"/>
        </w:rPr>
        <w:t>chapter30.html</w:t>
      </w:r>
      <w:r>
        <w:t xml:space="preserve">, read against Chapter 91, </w:t>
      </w:r>
      <w:r>
        <w:rPr>
          <w:rFonts w:ascii="Consolas" w:hAnsi="Consolas"/>
          <w:sz w:val="18"/>
        </w:rPr>
        <w:t>chapter99.html</w:t>
      </w:r>
      <w:r>
        <w:t>. The problematic Chapter 22 reading was also found in the previously checked Hetushu and Zhihu witnesses; those checks did not supply an authenticated corrected reading.</w:t>
      </w:r>
    </w:p>
    <w:p>
      <w:r/>
      <w:r>
        <w:rPr>
          <w:b/>
        </w:rPr>
        <w:t>[10] Height and volume:</w:t>
      </w:r>
      <w:r>
        <w:t xml:space="preserve"> Volume 1, Chapter 6, </w:t>
      </w:r>
      <w:r>
        <w:rPr>
          <w:rFonts w:ascii="Consolas" w:hAnsi="Consolas"/>
          <w:sz w:val="18"/>
        </w:rPr>
        <w:t>chapter14.html</w:t>
      </w:r>
      <w:r>
        <w:t xml:space="preserve">, and Chapter 10, </w:t>
      </w:r>
      <w:r>
        <w:rPr>
          <w:rFonts w:ascii="Consolas" w:hAnsi="Consolas"/>
          <w:sz w:val="18"/>
        </w:rPr>
        <w:t>chapter18.html</w:t>
      </w:r>
      <w:r>
        <w: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OMNIARCH  /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the Numbers Right | The Omniarch</dc:title>
  <dc:subject>Source-led policy for mathematical corrections in Reverend Insanity</dc:subject>
  <dc:creator>The Omniarch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