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032</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80</w:t>
      </w:r>
    </w:p>
    <w:p>
      <w:pPr>
        <w:pStyle w:val="ListBullet"/>
        <w:spacing w:after="50" w:line="252" w:lineRule="auto"/>
        <w:ind w:left="259" w:hanging="173"/>
      </w:pPr>
      <w:r>
        <w:rPr>
          <w:rFonts w:ascii="Arial" w:hAnsi="Arial" w:eastAsia="Arial"/>
          <w:color w:val="000000"/>
          <w:sz w:val="21"/>
        </w:rPr>
        <w:t>Setting: Community optometry following GP referral</w:t>
      </w:r>
    </w:p>
    <w:p>
      <w:pPr>
        <w:pStyle w:val="ListBullet"/>
        <w:spacing w:after="50" w:line="252" w:lineRule="auto"/>
        <w:ind w:left="259" w:hanging="173"/>
      </w:pPr>
      <w:r>
        <w:rPr>
          <w:rFonts w:ascii="Arial" w:hAnsi="Arial" w:eastAsia="Arial"/>
          <w:color w:val="000000"/>
          <w:sz w:val="21"/>
        </w:rPr>
        <w:t>Referral context: Recurrent outdoor falls with intermittent double vision and kerb-height difficulty</w:t>
      </w:r>
    </w:p>
    <w:p>
      <w:pPr>
        <w:pStyle w:val="ListBullet"/>
        <w:spacing w:after="50" w:line="252" w:lineRule="auto"/>
        <w:ind w:left="259" w:hanging="173"/>
      </w:pPr>
      <w:r>
        <w:rPr>
          <w:rFonts w:ascii="Arial" w:hAnsi="Arial" w:eastAsia="Arial"/>
          <w:color w:val="000000"/>
          <w:sz w:val="21"/>
        </w:rPr>
        <w:t>Key diagnosis: Recent left sixth nerve palsy causing distance double vision and poor depth judgement</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Distance double vision may make kerbs, car parks, and uneven footpaths difficult to judge.</w:t>
      </w:r>
    </w:p>
    <w:p>
      <w:pPr>
        <w:pStyle w:val="ListBullet"/>
        <w:spacing w:after="50" w:line="252" w:lineRule="auto"/>
        <w:ind w:left="259" w:hanging="173"/>
      </w:pPr>
      <w:r>
        <w:rPr>
          <w:rFonts w:ascii="Arial" w:hAnsi="Arial" w:eastAsia="Arial"/>
          <w:color w:val="000000"/>
          <w:sz w:val="21"/>
        </w:rPr>
        <w:t>Loss of functional depth perception is likely to affect step-down accuracy and may affect a range of ADLs.</w:t>
      </w:r>
    </w:p>
    <w:p>
      <w:pPr>
        <w:pStyle w:val="ListBullet"/>
        <w:spacing w:after="50" w:line="252" w:lineRule="auto"/>
        <w:ind w:left="259" w:hanging="173"/>
      </w:pPr>
      <w:r>
        <w:rPr>
          <w:rFonts w:ascii="Arial" w:hAnsi="Arial" w:eastAsia="Arial"/>
          <w:color w:val="000000"/>
          <w:sz w:val="21"/>
        </w:rPr>
        <w:t>Bifocal use outdoors may further increase uncertainty when looking down at ground level.</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May be unsafe crossing car parks, stepping off kerbs, or walking alone outdoors. Mobility indoors may be less affected due to familiarity with home, however should be assessed.</w:t>
      </w:r>
    </w:p>
    <w:p>
      <w:pPr>
        <w:pStyle w:val="ListBullet"/>
        <w:spacing w:after="50" w:line="252" w:lineRule="auto"/>
        <w:ind w:left="259" w:hanging="173"/>
      </w:pPr>
      <w:r>
        <w:rPr>
          <w:rFonts w:ascii="Arial" w:hAnsi="Arial" w:eastAsia="Arial"/>
          <w:color w:val="000000"/>
          <w:sz w:val="21"/>
        </w:rPr>
        <w:t>ADLs/IADLs: Impact of depth perception and diplopia may affect a range of tasks including measuring and pouring liquids, food prep and cooking. Reading instructions, locating necessary items and dispensing medications may be affected. There may also be additional risks stepping in/out of showers/bath. Outdoor errands may require planning or support while diplopia persists.</w:t>
      </w:r>
    </w:p>
    <w:p>
      <w:pPr>
        <w:pStyle w:val="ListBullet"/>
        <w:spacing w:after="50" w:line="252" w:lineRule="auto"/>
        <w:ind w:left="259" w:hanging="173"/>
      </w:pPr>
      <w:r>
        <w:rPr>
          <w:rFonts w:ascii="Arial" w:hAnsi="Arial" w:eastAsia="Arial"/>
          <w:color w:val="000000"/>
          <w:sz w:val="21"/>
        </w:rPr>
        <w:t>Participation/Confidence: Reduced independent walking outside may reflect safety concerns. Depending on leisure interests, diplopia may have varied impact including visual fatigue, mood and social isolation. There may also be increased risk of physical deconditioning, further falls and carer burnout.</w:t>
      </w:r>
    </w:p>
    <w:p>
      <w:pPr>
        <w:pStyle w:val="ListBullet"/>
        <w:spacing w:after="50" w:line="252" w:lineRule="auto"/>
        <w:ind w:left="259" w:hanging="173"/>
      </w:pPr>
      <w:r>
        <w:rPr>
          <w:rFonts w:ascii="Arial" w:hAnsi="Arial" w:eastAsia="Arial"/>
          <w:color w:val="000000"/>
          <w:sz w:val="21"/>
        </w:rPr>
        <w:t>Environment: Floor surfaces indoors and uneven paving and outdoor level changes are priority risks. Low colour contrast in the environment does not support reduced depth perception and can increase risk and limit confident and safe mobility.</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Mobility Strategies</w:t>
      </w:r>
    </w:p>
    <w:p>
      <w:pPr>
        <w:pStyle w:val="ListBullet"/>
        <w:spacing w:after="50" w:line="252" w:lineRule="auto"/>
        <w:ind w:left="259" w:hanging="173"/>
      </w:pPr>
      <w:r>
        <w:rPr>
          <w:rFonts w:ascii="Arial" w:hAnsi="Arial" w:eastAsia="Arial"/>
          <w:color w:val="000000"/>
          <w:sz w:val="21"/>
        </w:rPr>
        <w:t>Urgent referral to Orientation &amp; Mobility specialist for functional mobility assessment and training. Orientation and mobility specialist assessment and intervention may support client to understand where they are and how to move safely. O&amp;M can determine best strategies for locating kerb, stairs or other change in surface level. Change in surface (eg. Grass to concrete) may also cause misperception of change in surface level.</w:t>
      </w:r>
    </w:p>
    <w:p>
      <w:pPr>
        <w:pStyle w:val="ListBullet"/>
        <w:spacing w:after="50" w:line="252" w:lineRule="auto"/>
        <w:ind w:left="259" w:hanging="173"/>
      </w:pPr>
      <w:r>
        <w:rPr>
          <w:rFonts w:ascii="Arial" w:hAnsi="Arial" w:eastAsia="Arial"/>
          <w:color w:val="000000"/>
          <w:sz w:val="21"/>
        </w:rPr>
        <w:t>Depending on client needs, additional training in scanning or working systematically may be of benefit to compensate for left deficit and resulting esotropia.</w:t>
      </w:r>
    </w:p>
    <w:p>
      <w:pPr>
        <w:pStyle w:val="ListBullet"/>
        <w:spacing w:after="50" w:line="252" w:lineRule="auto"/>
        <w:ind w:left="259" w:hanging="173"/>
      </w:pPr>
      <w:r>
        <w:rPr>
          <w:rFonts w:ascii="Arial" w:hAnsi="Arial" w:eastAsia="Arial"/>
          <w:color w:val="000000"/>
          <w:sz w:val="21"/>
        </w:rPr>
        <w:t>Consider training: stop at kerb → close/align vision as advised by optometry strategy → identify kerb edge → step down with support if needed, supporting safe kerb negotiation.</w:t>
      </w:r>
    </w:p>
    <w:p>
      <w:pPr>
        <w:pStyle w:val="ListBullet"/>
        <w:spacing w:after="50" w:line="252" w:lineRule="auto"/>
        <w:ind w:left="259" w:hanging="173"/>
      </w:pPr>
      <w:r>
        <w:rPr>
          <w:rFonts w:ascii="Arial" w:hAnsi="Arial" w:eastAsia="Arial"/>
          <w:color w:val="000000"/>
          <w:sz w:val="21"/>
        </w:rPr>
        <w:t>Occupational therapy: Home access and modification assessment. Decreased depth perception may create further falls risk in home – may limit access into or out of the home, or internal mobility and access. Marking of areas posing risks like level changes, doorways. Increased colour contrast, increased or modified lighting and addition of hand rail or grab rail where appropriate can improve safety and mobility.</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Wife/support person may assist with outdoor route choice and car-park crossing until diplopia stabilises.</w:t>
      </w:r>
    </w:p>
    <w:p>
      <w:pPr>
        <w:pStyle w:val="ListBullet"/>
        <w:spacing w:after="50" w:line="252" w:lineRule="auto"/>
        <w:ind w:left="259" w:hanging="173"/>
      </w:pPr>
      <w:r>
        <w:rPr>
          <w:rFonts w:ascii="Arial" w:hAnsi="Arial" w:eastAsia="Arial"/>
          <w:color w:val="000000"/>
          <w:sz w:val="21"/>
        </w:rPr>
        <w:t>Support may be necessary for self-care and meal preparation depending on the client circumstances.</w:t>
      </w:r>
    </w:p>
    <w:p>
      <w:pPr>
        <w:pStyle w:val="ListBullet"/>
        <w:spacing w:after="50" w:line="252" w:lineRule="auto"/>
        <w:ind w:left="259" w:hanging="173"/>
      </w:pPr>
      <w:r>
        <w:rPr>
          <w:rFonts w:ascii="Arial" w:hAnsi="Arial" w:eastAsia="Arial"/>
          <w:color w:val="000000"/>
          <w:sz w:val="21"/>
        </w:rPr>
        <w:t>O&amp;M can provide education to wife/support person to enable them to assist in practice and consolidation of mobility skills between sessions.</w:t>
      </w:r>
    </w:p>
    <w:p>
      <w:pPr>
        <w:pStyle w:val="ListBullet"/>
        <w:spacing w:after="50" w:line="252" w:lineRule="auto"/>
        <w:ind w:left="259" w:hanging="173"/>
      </w:pPr>
      <w:r>
        <w:rPr>
          <w:rFonts w:ascii="Arial" w:hAnsi="Arial" w:eastAsia="Arial"/>
          <w:color w:val="000000"/>
          <w:sz w:val="21"/>
        </w:rPr>
        <w:t>O&amp;M can provide education to supports on correct guide techniques to assist support person to support client in unfamiliar or complex environments.</w:t>
      </w:r>
    </w:p>
    <w:p>
      <w:pPr>
        <w:pStyle w:val="ListBullet"/>
        <w:spacing w:after="50" w:line="252" w:lineRule="auto"/>
        <w:ind w:left="259" w:hanging="173"/>
      </w:pPr>
      <w:r>
        <w:rPr>
          <w:rFonts w:ascii="Arial" w:hAnsi="Arial" w:eastAsia="Arial"/>
          <w:color w:val="000000"/>
          <w:sz w:val="21"/>
        </w:rPr>
        <w:t>Consider assistive technology as indicated by OT/O&amp;M functional assessment to support safety, mobility and participation.</w:t>
      </w:r>
    </w:p>
    <w:p>
      <w:pPr>
        <w:pStyle w:val="ListBullet"/>
        <w:spacing w:after="50" w:line="252" w:lineRule="auto"/>
        <w:ind w:left="259" w:hanging="173"/>
      </w:pPr>
      <w:r>
        <w:rPr>
          <w:rFonts w:ascii="Arial" w:hAnsi="Arial" w:eastAsia="Arial"/>
          <w:color w:val="000000"/>
          <w:sz w:val="21"/>
        </w:rPr>
        <w:t>Falls alarm may be considered where indicated by the client’s circumstances and falls risk, including when alone at home or in the community.</w:t>
      </w:r>
    </w:p>
    <w:p>
      <w:pPr>
        <w:pStyle w:val="ListBullet"/>
        <w:spacing w:after="50" w:line="252" w:lineRule="auto"/>
        <w:ind w:left="259" w:hanging="173"/>
      </w:pPr>
      <w:r>
        <w:rPr>
          <w:rFonts w:ascii="Arial" w:hAnsi="Arial" w:eastAsia="Arial"/>
          <w:color w:val="000000"/>
          <w:sz w:val="21"/>
        </w:rPr>
        <w:t>Driving/transport: Reinforce the optometrist's advice not to drive while diplopia is present and encourage appropriate follow-up before driving resumes.</w:t>
      </w:r>
    </w:p>
    <w:p>
      <w:pPr>
        <w:spacing w:before="100" w:after="40"/>
      </w:pPr>
      <w:r>
        <w:rPr>
          <w:rFonts w:ascii="Arial" w:hAnsi="Arial" w:eastAsia="Arial"/>
          <w:b/>
          <w:color w:val="000000"/>
          <w:sz w:val="21"/>
        </w:rPr>
        <w:t>Clinical Follow-up / Communication</w:t>
      </w:r>
    </w:p>
    <w:p>
      <w:pPr>
        <w:pStyle w:val="ListBullet"/>
        <w:spacing w:after="50" w:line="252" w:lineRule="auto"/>
        <w:ind w:left="259" w:hanging="173"/>
      </w:pPr>
      <w:r>
        <w:rPr>
          <w:rFonts w:ascii="Arial" w:hAnsi="Arial" w:eastAsia="Arial"/>
          <w:color w:val="000000"/>
          <w:sz w:val="21"/>
        </w:rPr>
        <w:t>Orientation &amp; Mobility specialist may assess how current eyewear affects outdoor mobility and liaise with optometry if falls risk remains high.</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High vision-related falls risk — recurrent falls are associated with diplopia, poor depth judgement, and outdoor level-change difficulty.</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Prioritise mobility safety and supervision needs, particularly outdoors, through timely referral to Orientation &amp; Mobility specialist.</w:t>
      </w:r>
    </w:p>
    <w:p>
      <w:pPr>
        <w:pStyle w:val="ListBullet"/>
        <w:spacing w:after="50" w:line="252" w:lineRule="auto"/>
        <w:ind w:left="259" w:hanging="173"/>
      </w:pPr>
      <w:r>
        <w:rPr>
          <w:rFonts w:ascii="Arial" w:hAnsi="Arial" w:eastAsia="Arial"/>
          <w:color w:val="000000"/>
          <w:sz w:val="21"/>
        </w:rPr>
        <w:t>Integrate vision findings with environmental and assistive technology assessment findings.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