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eastAsia="Arial"/>
          <w:b/>
          <w:color w:val="000000"/>
          <w:sz w:val="30"/>
        </w:rPr>
        <w:t>Case 033</w:t>
      </w:r>
    </w:p>
    <w:p>
      <w:pPr>
        <w:spacing w:before="180" w:after="60"/>
      </w:pPr>
      <w:r>
        <w:rPr>
          <w:rFonts w:ascii="Arial" w:hAnsi="Arial" w:eastAsia="Arial"/>
          <w:b/>
          <w:color w:val="000000"/>
          <w:sz w:val="23"/>
        </w:rPr>
        <w:t>1. Patient Context</w:t>
      </w:r>
    </w:p>
    <w:p>
      <w:pPr>
        <w:pStyle w:val="ListBullet"/>
        <w:spacing w:after="50" w:line="252" w:lineRule="auto"/>
        <w:ind w:left="259" w:hanging="173"/>
      </w:pPr>
      <w:r>
        <w:rPr>
          <w:rFonts w:ascii="Arial" w:hAnsi="Arial" w:eastAsia="Arial"/>
          <w:color w:val="000000"/>
          <w:sz w:val="21"/>
        </w:rPr>
        <w:t>Age: 63</w:t>
      </w:r>
    </w:p>
    <w:p>
      <w:pPr>
        <w:pStyle w:val="ListBullet"/>
        <w:spacing w:after="50" w:line="252" w:lineRule="auto"/>
        <w:ind w:left="259" w:hanging="173"/>
      </w:pPr>
      <w:r>
        <w:rPr>
          <w:rFonts w:ascii="Arial" w:hAnsi="Arial" w:eastAsia="Arial"/>
          <w:color w:val="000000"/>
          <w:sz w:val="21"/>
        </w:rPr>
        <w:t>Setting: Community optometry</w:t>
      </w:r>
    </w:p>
    <w:p>
      <w:pPr>
        <w:pStyle w:val="ListBullet"/>
        <w:spacing w:after="50" w:line="252" w:lineRule="auto"/>
        <w:ind w:left="259" w:hanging="173"/>
      </w:pPr>
      <w:r>
        <w:rPr>
          <w:rFonts w:ascii="Arial" w:hAnsi="Arial" w:eastAsia="Arial"/>
          <w:color w:val="000000"/>
          <w:sz w:val="21"/>
        </w:rPr>
        <w:t>Referral context: Routine review; hesitancy on uneven paving when walking without glasses</w:t>
      </w:r>
    </w:p>
    <w:p>
      <w:pPr>
        <w:pStyle w:val="ListBullet"/>
        <w:spacing w:after="50" w:line="252" w:lineRule="auto"/>
        <w:ind w:left="259" w:hanging="173"/>
      </w:pPr>
      <w:r>
        <w:rPr>
          <w:rFonts w:ascii="Arial" w:hAnsi="Arial" w:eastAsia="Arial"/>
          <w:color w:val="000000"/>
          <w:sz w:val="21"/>
        </w:rPr>
        <w:t>Key diagnosis: Under-corrected distance blur, mainly due to inconsistent spectacle use when mobile</w:t>
      </w:r>
    </w:p>
    <w:p>
      <w:pPr>
        <w:spacing w:before="180" w:after="60"/>
      </w:pPr>
      <w:r>
        <w:rPr>
          <w:rFonts w:ascii="Arial" w:hAnsi="Arial" w:eastAsia="Arial"/>
          <w:b/>
          <w:color w:val="000000"/>
          <w:sz w:val="23"/>
        </w:rPr>
        <w:t>2. Key Vision Issues</w:t>
      </w:r>
    </w:p>
    <w:p>
      <w:pPr>
        <w:pStyle w:val="ListBullet"/>
        <w:spacing w:after="50" w:line="252" w:lineRule="auto"/>
        <w:ind w:left="259" w:hanging="173"/>
      </w:pPr>
      <w:r>
        <w:rPr>
          <w:rFonts w:ascii="Arial" w:hAnsi="Arial" w:eastAsia="Arial"/>
          <w:color w:val="000000"/>
          <w:sz w:val="21"/>
        </w:rPr>
        <w:t>Distance clarity appears correctable, so mobility risk is likely behaviour-driven.</w:t>
      </w:r>
    </w:p>
    <w:p>
      <w:pPr>
        <w:pStyle w:val="ListBullet"/>
        <w:spacing w:after="50" w:line="252" w:lineRule="auto"/>
        <w:ind w:left="259" w:hanging="173"/>
      </w:pPr>
      <w:r>
        <w:rPr>
          <w:rFonts w:ascii="Arial" w:hAnsi="Arial" w:eastAsia="Arial"/>
          <w:color w:val="000000"/>
          <w:sz w:val="21"/>
        </w:rPr>
        <w:t>Removing glasses for near tasks may lead to walking with blurred distance vision.</w:t>
      </w:r>
    </w:p>
    <w:p>
      <w:pPr>
        <w:pStyle w:val="ListBullet"/>
        <w:spacing w:after="50" w:line="252" w:lineRule="auto"/>
        <w:ind w:left="259" w:hanging="173"/>
      </w:pPr>
      <w:r>
        <w:rPr>
          <w:rFonts w:ascii="Arial" w:hAnsi="Arial" w:eastAsia="Arial"/>
          <w:color w:val="000000"/>
          <w:sz w:val="21"/>
        </w:rPr>
        <w:t>Garden path edges may be harder to judge when spectacles are not worn, especially in dull weather.</w:t>
      </w:r>
    </w:p>
    <w:p>
      <w:pPr>
        <w:spacing w:before="180" w:after="60"/>
      </w:pPr>
      <w:r>
        <w:rPr>
          <w:rFonts w:ascii="Arial" w:hAnsi="Arial" w:eastAsia="Arial"/>
          <w:b/>
          <w:color w:val="000000"/>
          <w:sz w:val="23"/>
        </w:rPr>
        <w:t>3. Functional Impact</w:t>
      </w:r>
    </w:p>
    <w:p>
      <w:pPr>
        <w:pStyle w:val="ListBullet"/>
        <w:spacing w:after="50" w:line="252" w:lineRule="auto"/>
        <w:ind w:left="259" w:hanging="173"/>
      </w:pPr>
      <w:r>
        <w:rPr>
          <w:rFonts w:ascii="Arial" w:hAnsi="Arial" w:eastAsia="Arial"/>
          <w:color w:val="000000"/>
          <w:sz w:val="21"/>
        </w:rPr>
        <w:t>Mobility/Falls: May misjudge outdoor edges, paving changes, and kerbs when walking unaided.</w:t>
      </w:r>
    </w:p>
    <w:p>
      <w:pPr>
        <w:pStyle w:val="ListBullet"/>
        <w:spacing w:after="50" w:line="252" w:lineRule="auto"/>
        <w:ind w:left="259" w:hanging="173"/>
      </w:pPr>
      <w:r>
        <w:rPr>
          <w:rFonts w:ascii="Arial" w:hAnsi="Arial" w:eastAsia="Arial"/>
          <w:color w:val="000000"/>
          <w:sz w:val="21"/>
        </w:rPr>
        <w:t>ADLs/IADLs: Reading-to-walking transitions may be a risk point.</w:t>
      </w:r>
    </w:p>
    <w:p>
      <w:pPr>
        <w:pStyle w:val="ListBullet"/>
        <w:spacing w:after="50" w:line="252" w:lineRule="auto"/>
        <w:ind w:left="259" w:hanging="173"/>
      </w:pPr>
      <w:r>
        <w:rPr>
          <w:rFonts w:ascii="Arial" w:hAnsi="Arial" w:eastAsia="Arial"/>
          <w:color w:val="000000"/>
          <w:sz w:val="21"/>
        </w:rPr>
        <w:t>Participation: May slow or hesitate outdoors if vision is unclear, may reduce community access, which may lead to social isolation and deconditioning.</w:t>
      </w:r>
    </w:p>
    <w:p>
      <w:pPr>
        <w:pStyle w:val="ListBullet"/>
        <w:spacing w:after="50" w:line="252" w:lineRule="auto"/>
        <w:ind w:left="259" w:hanging="173"/>
      </w:pPr>
      <w:r>
        <w:rPr>
          <w:rFonts w:ascii="Arial" w:hAnsi="Arial" w:eastAsia="Arial"/>
          <w:color w:val="000000"/>
          <w:sz w:val="21"/>
        </w:rPr>
        <w:t>Environment: Low-contrast outdoor surfaces, poor lighting, glare and shadows may increase uncertainty.</w:t>
      </w:r>
    </w:p>
    <w:p>
      <w:pPr>
        <w:spacing w:before="180" w:after="60"/>
      </w:pPr>
      <w:r>
        <w:rPr>
          <w:rFonts w:ascii="Arial" w:hAnsi="Arial" w:eastAsia="Arial"/>
          <w:b/>
          <w:color w:val="000000"/>
          <w:sz w:val="23"/>
        </w:rPr>
        <w:t>4. Vision-Informed OT Considerations</w:t>
      </w:r>
    </w:p>
    <w:p>
      <w:pPr>
        <w:spacing w:before="100" w:after="40"/>
      </w:pPr>
      <w:r>
        <w:rPr>
          <w:rFonts w:ascii="Arial" w:hAnsi="Arial" w:eastAsia="Arial"/>
          <w:b/>
          <w:color w:val="000000"/>
          <w:sz w:val="21"/>
        </w:rPr>
        <w:t>Mobility Strategies</w:t>
      </w:r>
    </w:p>
    <w:p>
      <w:pPr>
        <w:pStyle w:val="ListBullet"/>
        <w:spacing w:after="50" w:line="252" w:lineRule="auto"/>
        <w:ind w:left="259" w:hanging="173"/>
      </w:pPr>
      <w:r>
        <w:rPr>
          <w:rFonts w:ascii="Arial" w:hAnsi="Arial" w:eastAsia="Arial"/>
          <w:color w:val="000000"/>
          <w:sz w:val="21"/>
        </w:rPr>
        <w:t>Consider a habit sequence: finish reading → put distance glasses on → stand → locate path/step edge before walking, supporting safer outdoor mobility.</w:t>
      </w:r>
    </w:p>
    <w:p>
      <w:pPr>
        <w:pStyle w:val="ListBullet"/>
        <w:spacing w:after="50" w:line="252" w:lineRule="auto"/>
        <w:ind w:left="259" w:hanging="173"/>
      </w:pPr>
      <w:r>
        <w:rPr>
          <w:rFonts w:ascii="Arial" w:hAnsi="Arial" w:eastAsia="Arial"/>
          <w:color w:val="000000"/>
          <w:sz w:val="21"/>
        </w:rPr>
        <w:t>Home: consider minor modifications such as contrast markings to visually identify changes in surface height for further safety. Home maintenance may be required where uneven pathways need repair.</w:t>
      </w:r>
    </w:p>
    <w:p>
      <w:pPr>
        <w:pStyle w:val="ListBullet"/>
        <w:spacing w:after="50" w:line="252" w:lineRule="auto"/>
        <w:ind w:left="259" w:hanging="173"/>
      </w:pPr>
      <w:r>
        <w:rPr>
          <w:rFonts w:ascii="Arial" w:hAnsi="Arial" w:eastAsia="Arial"/>
          <w:color w:val="000000"/>
          <w:sz w:val="21"/>
        </w:rPr>
        <w:t>Community: May consider alternative routes to required destinations where applicable if local council/government are unable to repair uneven or broken pavement (such as that caused by tree roots).</w:t>
      </w:r>
    </w:p>
    <w:p>
      <w:pPr>
        <w:pStyle w:val="ListBullet"/>
        <w:spacing w:after="50" w:line="252" w:lineRule="auto"/>
        <w:ind w:left="259" w:hanging="173"/>
      </w:pPr>
      <w:r>
        <w:rPr>
          <w:rFonts w:ascii="Arial" w:hAnsi="Arial" w:eastAsia="Arial"/>
          <w:color w:val="000000"/>
          <w:sz w:val="21"/>
        </w:rPr>
        <w:t>Consider time of day when travelling and the impacts of glare and shadows on pathway as this may cause further difficulties with visually judging path and other hazards with or without glasses.</w:t>
      </w:r>
    </w:p>
    <w:p>
      <w:pPr>
        <w:spacing w:before="100" w:after="40"/>
      </w:pPr>
      <w:r>
        <w:rPr>
          <w:rFonts w:ascii="Arial" w:hAnsi="Arial" w:eastAsia="Arial"/>
          <w:b/>
          <w:color w:val="000000"/>
          <w:sz w:val="21"/>
        </w:rPr>
        <w:t>Education and Support</w:t>
      </w:r>
    </w:p>
    <w:p>
      <w:pPr>
        <w:pStyle w:val="ListBullet"/>
        <w:spacing w:after="50" w:line="252" w:lineRule="auto"/>
        <w:ind w:left="259" w:hanging="173"/>
      </w:pPr>
      <w:r>
        <w:rPr>
          <w:rFonts w:ascii="Arial" w:hAnsi="Arial" w:eastAsia="Arial"/>
          <w:color w:val="000000"/>
          <w:sz w:val="21"/>
        </w:rPr>
        <w:t>Place glasses at high-use transition points, such as beside reading chair and near back door, to support consistent use before moving. May use bright colours or signage to draw attention to this visual cue and assist with habit formation and memory.</w:t>
      </w:r>
    </w:p>
    <w:p>
      <w:pPr>
        <w:pStyle w:val="ListBullet"/>
        <w:spacing w:after="50" w:line="252" w:lineRule="auto"/>
        <w:ind w:left="259" w:hanging="173"/>
      </w:pPr>
      <w:r>
        <w:rPr>
          <w:rFonts w:ascii="Arial" w:hAnsi="Arial" w:eastAsia="Arial"/>
          <w:color w:val="000000"/>
          <w:sz w:val="21"/>
        </w:rPr>
        <w:t>Consider multifocal recommendation as an opportunity to have one prescription and lessen the need to change glasses mid-task.</w:t>
      </w:r>
    </w:p>
    <w:p>
      <w:pPr>
        <w:pStyle w:val="ListBullet"/>
        <w:spacing w:after="50" w:line="252" w:lineRule="auto"/>
        <w:ind w:left="259" w:hanging="173"/>
      </w:pPr>
      <w:r>
        <w:rPr>
          <w:rFonts w:ascii="Arial" w:hAnsi="Arial" w:eastAsia="Arial"/>
          <w:color w:val="000000"/>
          <w:sz w:val="21"/>
        </w:rPr>
        <w:t>If bifocals are prescribed by Optometrist, education around increased initial risk of falls as client learns to switch between distance and near viewing (accidental use of near vision when mobilising can contribute to difficulties judging surfaces and greater risk of falls).</w:t>
      </w:r>
    </w:p>
    <w:p>
      <w:pPr>
        <w:pStyle w:val="ListBullet"/>
        <w:spacing w:after="50" w:line="252" w:lineRule="auto"/>
        <w:ind w:left="259" w:hanging="173"/>
      </w:pPr>
      <w:r>
        <w:rPr>
          <w:rFonts w:ascii="Arial" w:hAnsi="Arial" w:eastAsia="Arial"/>
          <w:color w:val="000000"/>
          <w:sz w:val="21"/>
        </w:rPr>
        <w:t>Advocacy: Education on how to report maintenance issues to council or government responsible, or OT support to report this for repair.</w:t>
      </w:r>
    </w:p>
    <w:p>
      <w:pPr>
        <w:spacing w:before="180" w:after="60"/>
      </w:pPr>
      <w:r>
        <w:rPr>
          <w:rFonts w:ascii="Arial" w:hAnsi="Arial" w:eastAsia="Arial"/>
          <w:b/>
          <w:color w:val="000000"/>
          <w:sz w:val="23"/>
        </w:rPr>
        <w:t>5. Falls Risk Level</w:t>
      </w:r>
    </w:p>
    <w:p>
      <w:pPr>
        <w:pStyle w:val="ListBullet"/>
        <w:spacing w:after="50" w:line="252" w:lineRule="auto"/>
        <w:ind w:left="259" w:hanging="173"/>
      </w:pPr>
      <w:r>
        <w:rPr>
          <w:rFonts w:ascii="Arial" w:hAnsi="Arial" w:eastAsia="Arial"/>
          <w:color w:val="000000"/>
          <w:sz w:val="21"/>
        </w:rPr>
        <w:t>Moderate vision-related falls risk — mainly behaviour-driven, with correctable blur affecting outdoor surface judgement.</w:t>
      </w:r>
    </w:p>
    <w:p>
      <w:pPr>
        <w:spacing w:before="180" w:after="60"/>
      </w:pPr>
      <w:r>
        <w:rPr>
          <w:rFonts w:ascii="Arial" w:hAnsi="Arial" w:eastAsia="Arial"/>
          <w:b/>
          <w:color w:val="000000"/>
          <w:sz w:val="23"/>
        </w:rPr>
        <w:t>6. Summary of Key OT Considerations from Vision Findings</w:t>
      </w:r>
    </w:p>
    <w:p>
      <w:pPr>
        <w:pStyle w:val="ListBullet"/>
        <w:spacing w:after="50" w:line="252" w:lineRule="auto"/>
        <w:ind w:left="259" w:hanging="173"/>
      </w:pPr>
      <w:r>
        <w:rPr>
          <w:rFonts w:ascii="Arial" w:hAnsi="Arial" w:eastAsia="Arial"/>
          <w:color w:val="000000"/>
          <w:sz w:val="21"/>
        </w:rPr>
        <w:t>Assess spectacle-use habits during real daily routines.</w:t>
      </w:r>
    </w:p>
    <w:p>
      <w:pPr>
        <w:pStyle w:val="ListBullet"/>
        <w:spacing w:after="50" w:line="252" w:lineRule="auto"/>
        <w:ind w:left="259" w:hanging="173"/>
      </w:pPr>
      <w:r>
        <w:rPr>
          <w:rFonts w:ascii="Arial" w:hAnsi="Arial" w:eastAsia="Arial"/>
          <w:color w:val="000000"/>
          <w:sz w:val="21"/>
        </w:rPr>
        <w:t>Prioritise reading-to-mobility transitions and outdoor walking confidence.</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Arial" w:hAnsi="Arial" w:eastAsia="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