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035</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67</w:t>
      </w:r>
    </w:p>
    <w:p>
      <w:pPr>
        <w:pStyle w:val="ListBullet"/>
        <w:spacing w:after="50" w:line="252" w:lineRule="auto"/>
        <w:ind w:left="259" w:hanging="173"/>
      </w:pPr>
      <w:r>
        <w:rPr>
          <w:rFonts w:ascii="Arial" w:hAnsi="Arial" w:eastAsia="Arial"/>
          <w:color w:val="000000"/>
          <w:sz w:val="21"/>
        </w:rPr>
        <w:t>Setting: Shared-care glaucoma review</w:t>
      </w:r>
    </w:p>
    <w:p>
      <w:pPr>
        <w:pStyle w:val="ListBullet"/>
        <w:spacing w:after="50" w:line="252" w:lineRule="auto"/>
        <w:ind w:left="259" w:hanging="173"/>
      </w:pPr>
      <w:r>
        <w:rPr>
          <w:rFonts w:ascii="Arial" w:hAnsi="Arial" w:eastAsia="Arial"/>
          <w:color w:val="000000"/>
          <w:sz w:val="21"/>
        </w:rPr>
        <w:t>Referral context: Near-misses in dim hallways</w:t>
      </w:r>
    </w:p>
    <w:p>
      <w:pPr>
        <w:pStyle w:val="ListBullet"/>
        <w:spacing w:after="50" w:line="252" w:lineRule="auto"/>
        <w:ind w:left="259" w:hanging="173"/>
      </w:pPr>
      <w:r>
        <w:rPr>
          <w:rFonts w:ascii="Arial" w:hAnsi="Arial" w:eastAsia="Arial"/>
          <w:color w:val="000000"/>
          <w:sz w:val="21"/>
        </w:rPr>
        <w:t>Key diagnosis: Moderate glaucoma causing reduced peripheral/spatial awareness</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Peripheral field loss may reduce detection of floor-level hazards.</w:t>
      </w:r>
    </w:p>
    <w:p>
      <w:pPr>
        <w:pStyle w:val="ListBullet"/>
        <w:spacing w:after="50" w:line="252" w:lineRule="auto"/>
        <w:ind w:left="259" w:hanging="173"/>
      </w:pPr>
      <w:r>
        <w:rPr>
          <w:rFonts w:ascii="Arial" w:hAnsi="Arial" w:eastAsia="Arial"/>
          <w:color w:val="000000"/>
          <w:sz w:val="21"/>
        </w:rPr>
        <w:t>Reduced contrast may make darker objects harder to notice in dim areas.</w:t>
      </w:r>
    </w:p>
    <w:p>
      <w:pPr>
        <w:pStyle w:val="ListBullet"/>
        <w:spacing w:after="50" w:line="252" w:lineRule="auto"/>
        <w:ind w:left="259" w:hanging="173"/>
      </w:pPr>
      <w:r>
        <w:rPr>
          <w:rFonts w:ascii="Arial" w:hAnsi="Arial" w:eastAsia="Arial"/>
          <w:color w:val="000000"/>
          <w:sz w:val="21"/>
        </w:rPr>
        <w:t>Good central clarity may mask mobility risk during functional assessment.</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May miss low furniture, hallway objects, steps or other surface changes and hazards outside central gaze.</w:t>
      </w:r>
    </w:p>
    <w:p>
      <w:pPr>
        <w:pStyle w:val="ListBullet"/>
        <w:spacing w:after="50" w:line="252" w:lineRule="auto"/>
        <w:ind w:left="259" w:hanging="173"/>
      </w:pPr>
      <w:r>
        <w:rPr>
          <w:rFonts w:ascii="Arial" w:hAnsi="Arial" w:eastAsia="Arial"/>
          <w:color w:val="000000"/>
          <w:sz w:val="21"/>
        </w:rPr>
        <w:t>ADLs/IADLs: Household movement while carrying items may be riskier if obstacles are not detected early. Bathroom may pose risks if managing a step over.</w:t>
      </w:r>
    </w:p>
    <w:p>
      <w:pPr>
        <w:pStyle w:val="ListBullet"/>
        <w:spacing w:after="50" w:line="252" w:lineRule="auto"/>
        <w:ind w:left="259" w:hanging="173"/>
      </w:pPr>
      <w:r>
        <w:rPr>
          <w:rFonts w:ascii="Arial" w:hAnsi="Arial" w:eastAsia="Arial"/>
          <w:color w:val="000000"/>
          <w:sz w:val="21"/>
        </w:rPr>
        <w:t>Participation: Dim or crowded environments may impact confidence, including safe participation at the gym where spatial awareness, lighting and equipment layout may be relevant.</w:t>
      </w:r>
    </w:p>
    <w:p>
      <w:pPr>
        <w:pStyle w:val="ListBullet"/>
        <w:spacing w:after="50" w:line="252" w:lineRule="auto"/>
        <w:ind w:left="259" w:hanging="173"/>
      </w:pPr>
      <w:r>
        <w:rPr>
          <w:rFonts w:ascii="Arial" w:hAnsi="Arial" w:eastAsia="Arial"/>
          <w:color w:val="000000"/>
          <w:sz w:val="21"/>
        </w:rPr>
        <w:t>Environment: Clutter, poor floor contrast and inadequate or inappropriate lighting are likely high-risk.</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Environmental Modifications</w:t>
      </w:r>
    </w:p>
    <w:p>
      <w:pPr>
        <w:pStyle w:val="ListBullet"/>
        <w:spacing w:after="50" w:line="252" w:lineRule="auto"/>
        <w:ind w:left="259" w:hanging="173"/>
      </w:pPr>
      <w:r>
        <w:rPr>
          <w:rFonts w:ascii="Arial" w:hAnsi="Arial" w:eastAsia="Arial"/>
          <w:color w:val="000000"/>
          <w:sz w:val="21"/>
        </w:rPr>
        <w:t>Remove low stools, shoes, and cords from hallway and walking routes so reduced peripheral awareness is less likely to result in late obstacle detection.</w:t>
      </w:r>
    </w:p>
    <w:p>
      <w:pPr>
        <w:pStyle w:val="ListBullet"/>
        <w:spacing w:after="50" w:line="252" w:lineRule="auto"/>
        <w:ind w:left="259" w:hanging="173"/>
      </w:pPr>
      <w:r>
        <w:rPr>
          <w:rFonts w:ascii="Arial" w:hAnsi="Arial" w:eastAsia="Arial"/>
          <w:color w:val="000000"/>
          <w:sz w:val="21"/>
        </w:rPr>
        <w:t>Maintain consistent placement of furniture to further increase confidence, work with client to move or remove furniture to provide clear path of travel.</w:t>
      </w:r>
    </w:p>
    <w:p>
      <w:pPr>
        <w:pStyle w:val="ListBullet"/>
        <w:spacing w:after="50" w:line="252" w:lineRule="auto"/>
        <w:ind w:left="259" w:hanging="173"/>
      </w:pPr>
      <w:r>
        <w:rPr>
          <w:rFonts w:ascii="Arial" w:hAnsi="Arial" w:eastAsia="Arial"/>
          <w:color w:val="000000"/>
          <w:sz w:val="21"/>
        </w:rPr>
        <w:t>Consider colour contrast of current furniture with current flooring and wall colours. Low contrast does not support visual detection.</w:t>
      </w:r>
    </w:p>
    <w:p>
      <w:pPr>
        <w:spacing w:before="100" w:after="40"/>
      </w:pPr>
      <w:r>
        <w:rPr>
          <w:rFonts w:ascii="Arial" w:hAnsi="Arial" w:eastAsia="Arial"/>
          <w:b/>
          <w:color w:val="000000"/>
          <w:sz w:val="21"/>
        </w:rPr>
        <w:t>Lighting and Contrast</w:t>
      </w:r>
    </w:p>
    <w:p>
      <w:pPr>
        <w:pStyle w:val="ListBullet"/>
        <w:spacing w:after="50" w:line="252" w:lineRule="auto"/>
        <w:ind w:left="259" w:hanging="173"/>
      </w:pPr>
      <w:r>
        <w:rPr>
          <w:rFonts w:ascii="Arial" w:hAnsi="Arial" w:eastAsia="Arial"/>
          <w:color w:val="000000"/>
          <w:sz w:val="21"/>
        </w:rPr>
        <w:t>Add plug-in night lights along bedroom-to-bathroom routes and hallway corners to improve detection of low-level hazards.</w:t>
      </w:r>
    </w:p>
    <w:p>
      <w:pPr>
        <w:pStyle w:val="ListBullet"/>
        <w:spacing w:after="50" w:line="252" w:lineRule="auto"/>
        <w:ind w:left="259" w:hanging="173"/>
      </w:pPr>
      <w:r>
        <w:rPr>
          <w:rFonts w:ascii="Arial" w:hAnsi="Arial" w:eastAsia="Arial"/>
          <w:color w:val="000000"/>
          <w:sz w:val="21"/>
        </w:rPr>
        <w:t>Lighting assessment may be indicated to ensure even illumination throughout the home, including areas such as the kitchen and bathroom in relation to the tasks completed. Inadequate brightness or inappropriate colour temperature may reduce rather than support use of functional vision, including by creating glare. Shadowing caused by uneven lighting can be mistaken for an obstacle or change in surface, leading to further uncertainty.</w:t>
      </w:r>
    </w:p>
    <w:p>
      <w:pPr>
        <w:pStyle w:val="ListBullet"/>
        <w:spacing w:after="50" w:line="252" w:lineRule="auto"/>
        <w:ind w:left="259" w:hanging="173"/>
      </w:pPr>
      <w:r>
        <w:rPr>
          <w:rFonts w:ascii="Arial" w:hAnsi="Arial" w:eastAsia="Arial"/>
          <w:color w:val="000000"/>
          <w:sz w:val="21"/>
        </w:rPr>
        <w:t>Contrast markings can provide further visual reminder of changes in surface level.</w:t>
      </w:r>
    </w:p>
    <w:p>
      <w:pPr>
        <w:spacing w:before="100" w:after="40"/>
      </w:pPr>
      <w:r>
        <w:rPr>
          <w:rFonts w:ascii="Arial" w:hAnsi="Arial" w:eastAsia="Arial"/>
          <w:b/>
          <w:color w:val="000000"/>
          <w:sz w:val="21"/>
        </w:rPr>
        <w:t>Mobility Strategies</w:t>
      </w:r>
    </w:p>
    <w:p>
      <w:pPr>
        <w:pStyle w:val="ListBullet"/>
        <w:spacing w:after="50" w:line="252" w:lineRule="auto"/>
        <w:ind w:left="259" w:hanging="173"/>
      </w:pPr>
      <w:r>
        <w:rPr>
          <w:rFonts w:ascii="Arial" w:hAnsi="Arial" w:eastAsia="Arial"/>
          <w:color w:val="000000"/>
          <w:sz w:val="21"/>
        </w:rPr>
        <w:t>Consider referral to an Orientation &amp; Mobility specialist to provide training in scanning techniques and/or compensatory strategies for hazard detection and avoidance, particularly in the community. Intervention may be required to include training such as a “scan floor zone → check side space → proceed” routine before entering dim corridors or stepping around furniture.</w:t>
      </w:r>
    </w:p>
    <w:p>
      <w:pPr>
        <w:pStyle w:val="ListBullet"/>
        <w:spacing w:after="50" w:line="252" w:lineRule="auto"/>
        <w:ind w:left="259" w:hanging="173"/>
      </w:pPr>
      <w:r>
        <w:rPr>
          <w:rFonts w:ascii="Arial" w:hAnsi="Arial" w:eastAsia="Arial"/>
          <w:color w:val="000000"/>
          <w:sz w:val="21"/>
        </w:rPr>
        <w:t>Where gym attendance is a client goal, O&amp;M may explore travel to the gym and safe mobility/access within the gym.</w:t>
      </w:r>
    </w:p>
    <w:p>
      <w:pPr>
        <w:pStyle w:val="ListBullet"/>
        <w:spacing w:after="50" w:line="252" w:lineRule="auto"/>
        <w:ind w:left="259" w:hanging="173"/>
      </w:pPr>
      <w:r>
        <w:rPr>
          <w:rFonts w:ascii="Arial" w:hAnsi="Arial" w:eastAsia="Arial"/>
          <w:color w:val="000000"/>
          <w:sz w:val="21"/>
        </w:rPr>
        <w:t>Mobility aid may be beneficial for tactile detection of objects in lower field, as well as identification of client as having low vision. Assessment and prescription of mobility aid can be provided by O&amp;M.</w:t>
      </w:r>
    </w:p>
    <w:p>
      <w:pPr>
        <w:pStyle w:val="ListBullet"/>
        <w:spacing w:after="50" w:line="252" w:lineRule="auto"/>
        <w:ind w:left="259" w:hanging="173"/>
      </w:pPr>
      <w:r>
        <w:rPr>
          <w:rFonts w:ascii="Arial" w:hAnsi="Arial" w:eastAsia="Arial"/>
          <w:color w:val="000000"/>
          <w:sz w:val="21"/>
        </w:rPr>
        <w:t>Education may be provided by OT or O&amp;M to family or other persons living in or visiting the home on the importance of maintaining clear walkway, placing all items in designated place rather than on floor, tucking in chairs, closing low cabinet doors to support safety and independence and reduce risk of injury and falls.</w:t>
      </w:r>
    </w:p>
    <w:p>
      <w:pPr>
        <w:spacing w:before="100" w:after="40"/>
      </w:pPr>
      <w:r>
        <w:rPr>
          <w:rFonts w:ascii="Arial" w:hAnsi="Arial" w:eastAsia="Arial"/>
          <w:b/>
          <w:color w:val="000000"/>
          <w:sz w:val="21"/>
        </w:rPr>
        <w:t>ADL/IADL Assessment</w:t>
      </w:r>
    </w:p>
    <w:p>
      <w:pPr>
        <w:pStyle w:val="ListBullet"/>
        <w:spacing w:after="50" w:line="252" w:lineRule="auto"/>
        <w:ind w:left="259" w:hanging="173"/>
      </w:pPr>
      <w:r>
        <w:rPr>
          <w:rFonts w:ascii="Arial" w:hAnsi="Arial" w:eastAsia="Arial"/>
          <w:color w:val="000000"/>
          <w:sz w:val="21"/>
        </w:rPr>
        <w:t>Assess whether peripheral/spatial-awareness loss is affecting ADLs/IADLs according to the client’s goals and supports, using task-specific assessment or task analysis where indicated.</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Explain that peripheral field loss can progress without obvious central-acuity change, and encourage appropriate ongoing optometry/medical/licensing follow-up regarding driving safety.</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Moderate vision-related falls risk — peripheral field loss and reduced contrast are associated with near-misses in dim indoor mobility and may also increase risk in unfamiliar or dynamic environments in the community.</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Central acuity alone is unlikely to reflect functional mobility safety and the full impact of vision.</w:t>
      </w:r>
    </w:p>
    <w:p>
      <w:pPr>
        <w:pStyle w:val="ListBullet"/>
        <w:spacing w:after="50" w:line="252" w:lineRule="auto"/>
        <w:ind w:left="259" w:hanging="173"/>
      </w:pPr>
      <w:r>
        <w:rPr>
          <w:rFonts w:ascii="Arial" w:hAnsi="Arial" w:eastAsia="Arial"/>
          <w:color w:val="000000"/>
          <w:sz w:val="21"/>
        </w:rPr>
        <w:t>Assess obstacle detection in dim, cluttered, and visually complex spaces.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