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046</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74</w:t>
      </w:r>
    </w:p>
    <w:p>
      <w:pPr>
        <w:pStyle w:val="ListBullet"/>
        <w:spacing w:after="50" w:line="252" w:lineRule="auto"/>
        <w:ind w:left="259" w:hanging="173"/>
      </w:pPr>
      <w:r>
        <w:rPr>
          <w:rFonts w:ascii="Arial" w:hAnsi="Arial" w:eastAsia="Arial"/>
          <w:color w:val="000000"/>
          <w:sz w:val="21"/>
        </w:rPr>
        <w:t>Setting: Community optometry following GP referral</w:t>
      </w:r>
    </w:p>
    <w:p>
      <w:pPr>
        <w:pStyle w:val="ListBullet"/>
        <w:spacing w:after="50" w:line="252" w:lineRule="auto"/>
        <w:ind w:left="259" w:hanging="173"/>
      </w:pPr>
      <w:r>
        <w:rPr>
          <w:rFonts w:ascii="Arial" w:hAnsi="Arial" w:eastAsia="Arial"/>
          <w:color w:val="000000"/>
          <w:sz w:val="21"/>
        </w:rPr>
        <w:t>Referral context: New reading difficulty and one kerb stumble</w:t>
      </w:r>
    </w:p>
    <w:p>
      <w:pPr>
        <w:pStyle w:val="ListBullet"/>
        <w:spacing w:after="50" w:line="252" w:lineRule="auto"/>
        <w:ind w:left="259" w:hanging="173"/>
      </w:pPr>
      <w:r>
        <w:rPr>
          <w:rFonts w:ascii="Arial" w:hAnsi="Arial" w:eastAsia="Arial"/>
          <w:color w:val="000000"/>
          <w:sz w:val="21"/>
        </w:rPr>
        <w:t>Key diagnosis: Left-eye central vision loss from retinal vascular disease with macular swelling</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Patchy central blur may affect reading, labels, and fine detail in ADLs.</w:t>
      </w:r>
    </w:p>
    <w:p>
      <w:pPr>
        <w:pStyle w:val="ListBullet"/>
        <w:spacing w:after="50" w:line="252" w:lineRule="auto"/>
        <w:ind w:left="259" w:hanging="173"/>
      </w:pPr>
      <w:r>
        <w:rPr>
          <w:rFonts w:ascii="Arial" w:hAnsi="Arial" w:eastAsia="Arial"/>
          <w:color w:val="000000"/>
          <w:sz w:val="21"/>
        </w:rPr>
        <w:t>Reduced contrast may make low kerbs and edges harder to identify.</w:t>
      </w:r>
    </w:p>
    <w:p>
      <w:pPr>
        <w:pStyle w:val="ListBullet"/>
        <w:spacing w:after="50" w:line="252" w:lineRule="auto"/>
        <w:ind w:left="259" w:hanging="173"/>
      </w:pPr>
      <w:r>
        <w:rPr>
          <w:rFonts w:ascii="Arial" w:hAnsi="Arial" w:eastAsia="Arial"/>
          <w:color w:val="000000"/>
          <w:sz w:val="21"/>
        </w:rPr>
        <w:t>Right-eye clarity may partly compensate, but distracted mobility may remain vulnerable. Depth perception may still be impacted by reduced binocular function.</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May misjudge low kerbs or step edges when attention is divided.</w:t>
      </w:r>
    </w:p>
    <w:p>
      <w:pPr>
        <w:pStyle w:val="ListBullet"/>
        <w:spacing w:after="50" w:line="252" w:lineRule="auto"/>
        <w:ind w:left="259" w:hanging="173"/>
      </w:pPr>
      <w:r>
        <w:rPr>
          <w:rFonts w:ascii="Arial" w:hAnsi="Arial" w:eastAsia="Arial"/>
          <w:color w:val="000000"/>
          <w:sz w:val="21"/>
        </w:rPr>
        <w:t>Ability to operate phone at current settings and call for assistance in emergency should be reviewed.</w:t>
      </w:r>
    </w:p>
    <w:p>
      <w:pPr>
        <w:pStyle w:val="ListBullet"/>
        <w:spacing w:after="50" w:line="252" w:lineRule="auto"/>
        <w:ind w:left="259" w:hanging="173"/>
      </w:pPr>
      <w:r>
        <w:rPr>
          <w:rFonts w:ascii="Arial" w:hAnsi="Arial" w:eastAsia="Arial"/>
          <w:color w:val="000000"/>
          <w:sz w:val="21"/>
        </w:rPr>
        <w:t>ADLs/IADLs: Reading price labels, medication instructions, expiry dates and small print may be slower or unreliable. Low contrast situations may also impact ADLs/IADLs. Visual fatigue may contribute to vision fluctuation as well as further cognitive fatigue affecting attention. Consider ability to visually locate small pills if dropped. Decreased contrast sensitivity and depth perception may impact safety when pouring and other meal preparation tasks.</w:t>
      </w:r>
    </w:p>
    <w:p>
      <w:pPr>
        <w:pStyle w:val="ListBullet"/>
        <w:spacing w:after="50" w:line="252" w:lineRule="auto"/>
        <w:ind w:left="259" w:hanging="173"/>
      </w:pPr>
      <w:r>
        <w:rPr>
          <w:rFonts w:ascii="Arial" w:hAnsi="Arial" w:eastAsia="Arial"/>
          <w:color w:val="000000"/>
          <w:sz w:val="21"/>
        </w:rPr>
        <w:t>Participation: Access to the community for things like shopping and local driving confidence could be restricted. There may be an increased risk of social isolation.</w:t>
      </w:r>
    </w:p>
    <w:p>
      <w:pPr>
        <w:pStyle w:val="ListBullet"/>
        <w:spacing w:after="50" w:line="252" w:lineRule="auto"/>
        <w:ind w:left="259" w:hanging="173"/>
      </w:pPr>
      <w:r>
        <w:rPr>
          <w:rFonts w:ascii="Arial" w:hAnsi="Arial" w:eastAsia="Arial"/>
          <w:color w:val="000000"/>
          <w:sz w:val="21"/>
        </w:rPr>
        <w:t>Environment: Low-contrast edges and surface changes may be difficult to interpret. There may be a risk of falls or bumps in home if low contrast between furniture and environment.</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Task Adaptations</w:t>
      </w:r>
    </w:p>
    <w:p>
      <w:pPr>
        <w:pStyle w:val="ListBullet"/>
        <w:spacing w:after="50" w:line="252" w:lineRule="auto"/>
        <w:ind w:left="259" w:hanging="173"/>
      </w:pPr>
      <w:r>
        <w:rPr>
          <w:rFonts w:ascii="Arial" w:hAnsi="Arial" w:eastAsia="Arial"/>
          <w:color w:val="000000"/>
          <w:sz w:val="21"/>
        </w:rPr>
        <w:t>For medication and shopping tasks, consider large-print labels, consistent storage locations. Low cost AT or phone/computer accessibility features may be enlisted to assist with tasks such as lists, timers, managing appointments etc.</w:t>
      </w:r>
    </w:p>
    <w:p>
      <w:pPr>
        <w:pStyle w:val="ListBullet"/>
        <w:spacing w:after="50" w:line="252" w:lineRule="auto"/>
        <w:ind w:left="259" w:hanging="173"/>
      </w:pPr>
      <w:r>
        <w:rPr>
          <w:rFonts w:ascii="Arial" w:hAnsi="Arial" w:eastAsia="Arial"/>
          <w:color w:val="000000"/>
          <w:sz w:val="21"/>
        </w:rPr>
        <w:t>Enlist “bigger, bolder, brighter” strategies in tasks such as cooking/meal prep</w:t>
      </w:r>
    </w:p>
    <w:p>
      <w:pPr>
        <w:pStyle w:val="ListBullet"/>
        <w:spacing w:after="50" w:line="252" w:lineRule="auto"/>
        <w:ind w:left="259" w:hanging="173"/>
      </w:pPr>
      <w:r>
        <w:rPr>
          <w:rFonts w:ascii="Arial" w:hAnsi="Arial" w:eastAsia="Arial"/>
          <w:color w:val="000000"/>
          <w:sz w:val="21"/>
        </w:rPr>
        <w:t>Difficulty with small print may also present challenges with setting and operating appliances such as stove, microwave, TV or heating remotes. Consider tactile marking.</w:t>
      </w:r>
    </w:p>
    <w:p>
      <w:pPr>
        <w:pStyle w:val="ListBullet"/>
        <w:spacing w:after="50" w:line="252" w:lineRule="auto"/>
        <w:ind w:left="259" w:hanging="173"/>
      </w:pPr>
      <w:r>
        <w:rPr>
          <w:rFonts w:ascii="Arial" w:hAnsi="Arial" w:eastAsia="Arial"/>
          <w:color w:val="000000"/>
          <w:sz w:val="21"/>
        </w:rPr>
        <w:t>May consider Orthoptic review for magnification when vision stabilises or rental in interim.</w:t>
      </w:r>
    </w:p>
    <w:p>
      <w:pPr>
        <w:pStyle w:val="ListBullet"/>
        <w:spacing w:after="50" w:line="252" w:lineRule="auto"/>
        <w:ind w:left="259" w:hanging="173"/>
      </w:pPr>
      <w:r>
        <w:rPr>
          <w:rFonts w:ascii="Arial" w:hAnsi="Arial" w:eastAsia="Arial"/>
          <w:color w:val="000000"/>
          <w:sz w:val="21"/>
        </w:rPr>
        <w:t>Review safety in meal preparation – decreased depth perception and contrast sensitivity may impact meal preparation tasks such as pouring liquids, placing items on oven racks, and may increase risk of injury. Consider increasing contrast, lighting, AT such as liquid level indicator and heat protection.</w:t>
      </w:r>
    </w:p>
    <w:p>
      <w:pPr>
        <w:pStyle w:val="ListBullet"/>
        <w:spacing w:after="50" w:line="252" w:lineRule="auto"/>
        <w:ind w:left="259" w:hanging="173"/>
      </w:pPr>
      <w:r>
        <w:rPr>
          <w:rFonts w:ascii="Arial" w:hAnsi="Arial" w:eastAsia="Arial"/>
          <w:color w:val="000000"/>
          <w:sz w:val="21"/>
        </w:rPr>
        <w:t>Review phone use, as ability to call for support and assistance is crucial. Smart phone may require change in text size, contrast, colour and/or magnification if text is small. Personal alarm may be considered if client feeling uncertain, additional falls recorded.</w:t>
      </w:r>
    </w:p>
    <w:p>
      <w:pPr>
        <w:pStyle w:val="ListBullet"/>
        <w:spacing w:after="50" w:line="252" w:lineRule="auto"/>
        <w:ind w:left="259" w:hanging="173"/>
      </w:pPr>
      <w:r>
        <w:rPr>
          <w:rFonts w:ascii="Arial" w:hAnsi="Arial" w:eastAsia="Arial"/>
          <w:color w:val="000000"/>
          <w:sz w:val="21"/>
        </w:rPr>
        <w:t>Review safety with fine detail grooming tasks such as shaving in case RE is not able to accurately compensate. Magnification, lighting may assist, tactile techniques may be required to maintain safety and independence.</w:t>
      </w:r>
    </w:p>
    <w:p>
      <w:pPr>
        <w:pStyle w:val="ListBullet"/>
        <w:spacing w:after="50" w:line="252" w:lineRule="auto"/>
        <w:ind w:left="259" w:hanging="173"/>
      </w:pPr>
      <w:r>
        <w:rPr>
          <w:rFonts w:ascii="Arial" w:hAnsi="Arial" w:eastAsia="Arial"/>
          <w:color w:val="000000"/>
          <w:sz w:val="21"/>
        </w:rPr>
        <w:t>Assess whether distractibility affects safe performance of ADLs/IADLs, particularly when central detail is unreliable or attention is divided.</w:t>
      </w:r>
    </w:p>
    <w:p>
      <w:pPr>
        <w:spacing w:before="100" w:after="40"/>
      </w:pPr>
      <w:r>
        <w:rPr>
          <w:rFonts w:ascii="Arial" w:hAnsi="Arial" w:eastAsia="Arial"/>
          <w:b/>
          <w:color w:val="000000"/>
          <w:sz w:val="21"/>
        </w:rPr>
        <w:t>Lighting and Contrast</w:t>
      </w:r>
    </w:p>
    <w:p>
      <w:pPr>
        <w:pStyle w:val="ListBullet"/>
        <w:spacing w:after="50" w:line="252" w:lineRule="auto"/>
        <w:ind w:left="259" w:hanging="173"/>
      </w:pPr>
      <w:r>
        <w:rPr>
          <w:rFonts w:ascii="Arial" w:hAnsi="Arial" w:eastAsia="Arial"/>
          <w:color w:val="000000"/>
          <w:sz w:val="21"/>
        </w:rPr>
        <w:t>Apply high-contrast tape to front step and outdoor kerb-like edges at home to support safer edge detection with reduced central detail. Handrail or grab rails may be considered for additional physical support, including in areas such as the shower to provide balance and orientation to a space, with appropriate lighting.</w:t>
      </w:r>
    </w:p>
    <w:p>
      <w:pPr>
        <w:spacing w:before="100" w:after="40"/>
      </w:pPr>
      <w:r>
        <w:rPr>
          <w:rFonts w:ascii="Arial" w:hAnsi="Arial" w:eastAsia="Arial"/>
          <w:b/>
          <w:color w:val="000000"/>
          <w:sz w:val="21"/>
        </w:rPr>
        <w:t>Clinical Follow-up / Communication</w:t>
      </w:r>
    </w:p>
    <w:p>
      <w:pPr>
        <w:pStyle w:val="ListBullet"/>
        <w:spacing w:after="50" w:line="252" w:lineRule="auto"/>
        <w:ind w:left="259" w:hanging="173"/>
      </w:pPr>
      <w:r>
        <w:rPr>
          <w:rFonts w:ascii="Arial" w:hAnsi="Arial" w:eastAsia="Arial"/>
          <w:color w:val="000000"/>
          <w:sz w:val="21"/>
        </w:rPr>
        <w:t>Retinal care is already planned; OT may focus on interim routines for reading-dependent tasks, home access and meal preparation, referrals to Orientation &amp; mobility or Orthoptics as indicated.</w:t>
      </w:r>
    </w:p>
    <w:p>
      <w:pPr>
        <w:pStyle w:val="ListBullet"/>
        <w:spacing w:after="50" w:line="252" w:lineRule="auto"/>
        <w:ind w:left="259" w:hanging="173"/>
      </w:pPr>
      <w:r>
        <w:rPr>
          <w:rFonts w:ascii="Arial" w:hAnsi="Arial" w:eastAsia="Arial"/>
          <w:color w:val="000000"/>
          <w:sz w:val="21"/>
        </w:rPr>
        <w:t>Consider referral to an Orientation &amp; Mobility specialist to assess and support safe mobility at home and in the community, including non-visual strategies for judging drop-offs or changes in level and safe kerb negotiation.</w:t>
      </w:r>
    </w:p>
    <w:p>
      <w:pPr>
        <w:pStyle w:val="ListBullet"/>
        <w:spacing w:after="50" w:line="252" w:lineRule="auto"/>
        <w:ind w:left="259" w:hanging="173"/>
      </w:pPr>
      <w:r>
        <w:rPr>
          <w:rFonts w:ascii="Arial" w:hAnsi="Arial" w:eastAsia="Arial"/>
          <w:color w:val="000000"/>
          <w:sz w:val="21"/>
        </w:rPr>
        <w:t>Consider support for transport pending Ophthalmology and medical reviews. O&amp;M may also assist with exploring available community transport services, public transport and travel subsidies if driving no longer possible.</w:t>
      </w:r>
    </w:p>
    <w:p>
      <w:pPr>
        <w:pStyle w:val="ListBullet"/>
        <w:spacing w:after="50" w:line="252" w:lineRule="auto"/>
        <w:ind w:left="259" w:hanging="173"/>
      </w:pPr>
      <w:r>
        <w:rPr>
          <w:rFonts w:ascii="Arial" w:hAnsi="Arial" w:eastAsia="Arial"/>
          <w:color w:val="000000"/>
          <w:sz w:val="21"/>
        </w:rPr>
        <w:t>Follow-up with any funding bodies for reassessment following change in vision if increased formal support needs identified eg. MyAgedCare.</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Encourage appropriate Ophthalmology/medical/licensing follow-up where vision changes or distractibility raise concern about driving safety; if driving becomes inappropriate, use the existing transport-support planning above.</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central blur and reduced contrast have already been associated with one kerb stumble.</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Assess ADLs according to client needs and priorities especially when fine details or reading-dependent tasks are involved (consider labels, contrast).</w:t>
      </w:r>
    </w:p>
    <w:p>
      <w:pPr>
        <w:pStyle w:val="ListBullet"/>
        <w:spacing w:after="50" w:line="252" w:lineRule="auto"/>
        <w:ind w:left="259" w:hanging="173"/>
      </w:pPr>
      <w:r>
        <w:rPr>
          <w:rFonts w:ascii="Arial" w:hAnsi="Arial" w:eastAsia="Arial"/>
          <w:color w:val="000000"/>
          <w:sz w:val="21"/>
        </w:rPr>
        <w:t>Prioritise assessment of tasks with high risk of injury including burns, spills such as meal preparation activities.</w:t>
      </w:r>
    </w:p>
    <w:p>
      <w:pPr>
        <w:pStyle w:val="ListBullet"/>
        <w:spacing w:after="50" w:line="252" w:lineRule="auto"/>
        <w:ind w:left="259" w:hanging="173"/>
      </w:pPr>
      <w:r>
        <w:rPr>
          <w:rFonts w:ascii="Arial" w:hAnsi="Arial" w:eastAsia="Arial"/>
          <w:color w:val="000000"/>
          <w:sz w:val="21"/>
        </w:rPr>
        <w:t>Consider the impact of distractibility on safe mobility and ADL/IADL performance.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