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057</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84</w:t>
      </w:r>
    </w:p>
    <w:p>
      <w:pPr>
        <w:pStyle w:val="ListBullet"/>
        <w:spacing w:after="50" w:line="252" w:lineRule="auto"/>
        <w:ind w:left="259" w:hanging="173"/>
      </w:pPr>
      <w:r>
        <w:rPr>
          <w:rFonts w:ascii="Arial" w:hAnsi="Arial" w:eastAsia="Arial"/>
          <w:color w:val="000000"/>
          <w:sz w:val="21"/>
        </w:rPr>
        <w:t>Setting: Community optometry after rehabilitation recommendation</w:t>
      </w:r>
    </w:p>
    <w:p>
      <w:pPr>
        <w:pStyle w:val="ListBullet"/>
        <w:spacing w:after="50" w:line="252" w:lineRule="auto"/>
        <w:ind w:left="259" w:hanging="173"/>
      </w:pPr>
      <w:r>
        <w:rPr>
          <w:rFonts w:ascii="Arial" w:hAnsi="Arial" w:eastAsia="Arial"/>
          <w:color w:val="000000"/>
          <w:sz w:val="21"/>
        </w:rPr>
        <w:t>Referral context: Recurrent post-stroke falls</w:t>
      </w:r>
    </w:p>
    <w:p>
      <w:pPr>
        <w:pStyle w:val="ListBullet"/>
        <w:spacing w:after="50" w:line="252" w:lineRule="auto"/>
        <w:ind w:left="259" w:hanging="173"/>
      </w:pPr>
      <w:r>
        <w:rPr>
          <w:rFonts w:ascii="Arial" w:hAnsi="Arial" w:eastAsia="Arial"/>
          <w:color w:val="000000"/>
          <w:sz w:val="21"/>
        </w:rPr>
        <w:t>Key diagnosis: Right-sided visual field loss with bilateral cataract-related blur/glare, hearing loss, hx stroke, arthritis</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Right homonymous field loss may cause missed objects, obstacles and doorway edges on the right; this may impact ability to detect vehicles and make safe road crossings.</w:t>
      </w:r>
    </w:p>
    <w:p>
      <w:pPr>
        <w:pStyle w:val="ListBullet"/>
        <w:spacing w:after="50" w:line="252" w:lineRule="auto"/>
        <w:ind w:left="259" w:hanging="173"/>
      </w:pPr>
      <w:r>
        <w:rPr>
          <w:rFonts w:ascii="Arial" w:hAnsi="Arial" w:eastAsia="Arial"/>
          <w:color w:val="000000"/>
          <w:sz w:val="21"/>
        </w:rPr>
        <w:t>Reduced clarity and contrast may worsen step detection and glare transitions.</w:t>
      </w:r>
    </w:p>
    <w:p>
      <w:pPr>
        <w:pStyle w:val="ListBullet"/>
        <w:spacing w:after="50" w:line="252" w:lineRule="auto"/>
        <w:ind w:left="259" w:hanging="173"/>
      </w:pPr>
      <w:r>
        <w:rPr>
          <w:rFonts w:ascii="Arial" w:hAnsi="Arial" w:eastAsia="Arial"/>
          <w:color w:val="000000"/>
          <w:sz w:val="21"/>
        </w:rPr>
        <w:t>Reduced clarity also may have social implications by affecting ability to detect and recognise faces, body language and expression, thereby increasing social isolation risk.</w:t>
      </w:r>
    </w:p>
    <w:p>
      <w:pPr>
        <w:pStyle w:val="ListBullet"/>
        <w:spacing w:after="50" w:line="252" w:lineRule="auto"/>
        <w:ind w:left="259" w:hanging="173"/>
      </w:pPr>
      <w:r>
        <w:rPr>
          <w:rFonts w:ascii="Arial" w:hAnsi="Arial" w:eastAsia="Arial"/>
          <w:color w:val="000000"/>
          <w:sz w:val="21"/>
        </w:rPr>
        <w:t>Bifocal use outdoors may further complicate stair and level-change judgement.</w:t>
      </w:r>
    </w:p>
    <w:p>
      <w:pPr>
        <w:pStyle w:val="ListBullet"/>
        <w:spacing w:after="50" w:line="252" w:lineRule="auto"/>
        <w:ind w:left="259" w:hanging="173"/>
      </w:pPr>
      <w:r>
        <w:rPr>
          <w:rFonts w:ascii="Arial" w:hAnsi="Arial" w:eastAsia="Arial"/>
          <w:color w:val="000000"/>
          <w:sz w:val="21"/>
        </w:rPr>
        <w:t>Level of hearing impairment may further impact compensatory strategies.</w:t>
      </w:r>
    </w:p>
    <w:p>
      <w:pPr>
        <w:pStyle w:val="ListBullet"/>
        <w:spacing w:after="50" w:line="252" w:lineRule="auto"/>
        <w:ind w:left="259" w:hanging="173"/>
      </w:pPr>
      <w:r>
        <w:rPr>
          <w:rFonts w:ascii="Arial" w:hAnsi="Arial" w:eastAsia="Arial"/>
          <w:color w:val="000000"/>
          <w:sz w:val="21"/>
        </w:rPr>
        <w:t>Consider obtaining additional information on location of strokes, as involvement of other lobes aside from occipital may indicate cognitive, physical and/or language difficulties which may need to be considered in all intervention and education.</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High risk during turning, doorways, bright-to-shade transitions, and complex environments. Ability to effectively detect obstacles and detect their direction and speed may impact safe mobility including ability to make safe road crossings, further impacted by hearing loss. High glare sensitivity may restrict times of day when client can be active in the community, or reduce access in certain areas due to conditions. Night time mobility (eg. Bed to toilet) may be impacted by difficulty with lighting transitions.</w:t>
      </w:r>
    </w:p>
    <w:p>
      <w:pPr>
        <w:pStyle w:val="ListBullet"/>
        <w:spacing w:after="50" w:line="252" w:lineRule="auto"/>
        <w:ind w:left="259" w:hanging="173"/>
      </w:pPr>
      <w:r>
        <w:rPr>
          <w:rFonts w:ascii="Arial" w:hAnsi="Arial" w:eastAsia="Arial"/>
          <w:color w:val="000000"/>
          <w:sz w:val="21"/>
        </w:rPr>
        <w:t>ADLs/IADLs: Assess and consider intervention relating to scanning to complete tasks – finding all the components for tasks. Moving between tasks and rooms may require extra cueing or support. Scanning techniques may still be relevant for home tasks including ability to detect items on counters, however a focus on non-visual strategies may be recommended due to visual acuity loss from cataracts significantly reducing functional vision.</w:t>
      </w:r>
    </w:p>
    <w:p>
      <w:pPr>
        <w:pStyle w:val="ListBullet"/>
        <w:spacing w:after="50" w:line="252" w:lineRule="auto"/>
        <w:ind w:left="259" w:hanging="173"/>
      </w:pPr>
      <w:r>
        <w:rPr>
          <w:rFonts w:ascii="Arial" w:hAnsi="Arial" w:eastAsia="Arial"/>
          <w:color w:val="000000"/>
          <w:sz w:val="21"/>
        </w:rPr>
        <w:t>Participation: Community access may need guided support to preserve safe participation and improve confidence. May benefit from mobility training from a specialist experienced in dual sensory loss. Difficulty in recognising faces, expressions and body language cues may impact communication and confidence in social situations, and may increase social isolation risk.</w:t>
      </w:r>
    </w:p>
    <w:p>
      <w:pPr>
        <w:pStyle w:val="ListBullet"/>
        <w:spacing w:after="50" w:line="252" w:lineRule="auto"/>
        <w:ind w:left="259" w:hanging="173"/>
      </w:pPr>
      <w:r>
        <w:rPr>
          <w:rFonts w:ascii="Arial" w:hAnsi="Arial" w:eastAsia="Arial"/>
          <w:color w:val="000000"/>
          <w:sz w:val="21"/>
        </w:rPr>
        <w:t>Environment: Entryways, stairs, bathrooms, road crossings and high-glare areas are priority risks.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Referral to Orientation &amp; Mobility for assessment and training in home and community mobility may support the client to understand where they are and how to move safely. Training may include spatial awareness, balance and safe travel. Development of scanning strategies may be important in hemianopia; however, reduced visual acuity and increased photophobia from cataracts may make visual strategies less reliable on their own and support the need to develop non-visual strategies.</w:t>
      </w:r>
    </w:p>
    <w:p>
      <w:pPr>
        <w:pStyle w:val="ListBullet"/>
        <w:spacing w:after="50" w:line="252" w:lineRule="auto"/>
        <w:ind w:left="259" w:hanging="173"/>
      </w:pPr>
      <w:r>
        <w:rPr>
          <w:rFonts w:ascii="Arial" w:hAnsi="Arial" w:eastAsia="Arial"/>
          <w:color w:val="000000"/>
          <w:sz w:val="21"/>
        </w:rPr>
        <w:t>Client may benefit from prescription of mobility aid such as white cane and mini-guide for increased tactile input to understand environment, detect and avoid obstacles and to identify themselves as having vision impairment in the community.</w:t>
      </w:r>
    </w:p>
    <w:p>
      <w:pPr>
        <w:pStyle w:val="ListBullet"/>
        <w:spacing w:after="50" w:line="252" w:lineRule="auto"/>
        <w:ind w:left="259" w:hanging="173"/>
      </w:pPr>
      <w:r>
        <w:rPr>
          <w:rFonts w:ascii="Arial" w:hAnsi="Arial" w:eastAsia="Arial"/>
          <w:color w:val="000000"/>
          <w:sz w:val="21"/>
        </w:rPr>
        <w:t>Additional information on severity of hearing impairment may be important as hearing is used as a compensatory strategy for vision loss, in particular training to use hearing to judge location, distance, speed and number of vehicles.</w:t>
      </w:r>
    </w:p>
    <w:p>
      <w:pPr>
        <w:pStyle w:val="ListBullet"/>
        <w:spacing w:after="50" w:line="252" w:lineRule="auto"/>
        <w:ind w:left="259" w:hanging="173"/>
      </w:pPr>
      <w:r>
        <w:rPr>
          <w:rFonts w:ascii="Arial" w:hAnsi="Arial" w:eastAsia="Arial"/>
          <w:color w:val="000000"/>
          <w:sz w:val="21"/>
        </w:rPr>
        <w:t>OT considerations: Education and recommendations on placement of furniture, increasing contrast in home, education to family on importance of ensuring chairs tucked in, cupboards closed, no items left in walkway, all items to remain in specified place to reduce risk of falls and injury when mobilising around home.</w:t>
      </w:r>
    </w:p>
    <w:p>
      <w:pPr>
        <w:pStyle w:val="ListBullet"/>
        <w:spacing w:after="50" w:line="252" w:lineRule="auto"/>
        <w:ind w:left="259" w:hanging="173"/>
      </w:pPr>
      <w:r>
        <w:rPr>
          <w:rFonts w:ascii="Arial" w:hAnsi="Arial" w:eastAsia="Arial"/>
          <w:color w:val="000000"/>
          <w:sz w:val="21"/>
        </w:rPr>
        <w:t>Technique may include: Practise: stop before doorway → turn head/eyes to right boundary → identify frame and floor edge → step through using a wide turn rather than pivot.</w:t>
      </w:r>
    </w:p>
    <w:p>
      <w:pPr>
        <w:spacing w:before="100" w:after="40"/>
      </w:pPr>
      <w:r>
        <w:rPr>
          <w:rFonts w:ascii="Arial" w:hAnsi="Arial" w:eastAsia="Arial"/>
          <w:b/>
          <w:color w:val="000000"/>
          <w:sz w:val="21"/>
        </w:rPr>
        <w:t>Lighting and Contrast</w:t>
      </w:r>
    </w:p>
    <w:p>
      <w:pPr>
        <w:pStyle w:val="ListBullet"/>
        <w:spacing w:after="50" w:line="252" w:lineRule="auto"/>
        <w:ind w:left="259" w:hanging="173"/>
      </w:pPr>
      <w:r>
        <w:rPr>
          <w:rFonts w:ascii="Arial" w:hAnsi="Arial" w:eastAsia="Arial"/>
          <w:color w:val="000000"/>
          <w:sz w:val="21"/>
        </w:rPr>
        <w:t>OT home/environmental assessment should review internal and external stairs, bathroom/shower and entry areas for appropriate handrails or grab rails, lighting and contrast, including high-contrast step-edge markings or sensor lighting where indicated.</w:t>
      </w:r>
    </w:p>
    <w:p>
      <w:pPr>
        <w:pStyle w:val="ListBullet"/>
        <w:spacing w:after="50" w:line="252" w:lineRule="auto"/>
        <w:ind w:left="259" w:hanging="173"/>
      </w:pPr>
      <w:r>
        <w:rPr>
          <w:rFonts w:ascii="Arial" w:hAnsi="Arial" w:eastAsia="Arial"/>
          <w:color w:val="000000"/>
          <w:sz w:val="21"/>
        </w:rPr>
        <w:t>Good task lighting and contrast can be used as a technique to adapt other tasks such as personal ADLs and IADLs.</w:t>
      </w:r>
    </w:p>
    <w:p>
      <w:pPr>
        <w:pStyle w:val="ListBullet"/>
        <w:spacing w:after="50" w:line="252" w:lineRule="auto"/>
        <w:ind w:left="259" w:hanging="173"/>
      </w:pPr>
      <w:r>
        <w:rPr>
          <w:rFonts w:ascii="Arial" w:hAnsi="Arial" w:eastAsia="Arial"/>
          <w:color w:val="000000"/>
          <w:sz w:val="21"/>
        </w:rPr>
        <w:t>Consider how contrast can be used to highlight and identify doorways. High contrast hardware may assist with doors and cabinetry.</w:t>
      </w:r>
    </w:p>
    <w:p>
      <w:pPr>
        <w:pStyle w:val="ListBullet"/>
        <w:spacing w:after="50" w:line="252" w:lineRule="auto"/>
        <w:ind w:left="259" w:hanging="173"/>
      </w:pPr>
      <w:r>
        <w:rPr>
          <w:rFonts w:ascii="Arial" w:hAnsi="Arial" w:eastAsia="Arial"/>
          <w:color w:val="000000"/>
          <w:sz w:val="21"/>
        </w:rPr>
        <w:t>Low lighting options for illuminating the path from bedroom to bathroom may support night-time travel without the need to transition from low to high light.</w:t>
      </w:r>
    </w:p>
    <w:p>
      <w:pPr>
        <w:pStyle w:val="ListBullet"/>
        <w:spacing w:after="50" w:line="252" w:lineRule="auto"/>
        <w:ind w:left="259" w:hanging="173"/>
      </w:pPr>
      <w:r>
        <w:rPr>
          <w:rFonts w:ascii="Arial" w:hAnsi="Arial" w:eastAsia="Arial"/>
          <w:color w:val="000000"/>
          <w:sz w:val="21"/>
        </w:rPr>
        <w:t>Assessment for appropriate UV fitovers and other protective gear may reduce discomfort and maximise residual vision, and may assist in lighting transitions.</w:t>
      </w:r>
    </w:p>
    <w:p>
      <w:pPr>
        <w:spacing w:before="100" w:after="40"/>
      </w:pPr>
      <w:r>
        <w:rPr>
          <w:rFonts w:ascii="Arial" w:hAnsi="Arial" w:eastAsia="Arial"/>
          <w:b/>
          <w:color w:val="000000"/>
          <w:sz w:val="21"/>
        </w:rPr>
        <w:t>ADL/IADL OT strategies</w:t>
      </w:r>
    </w:p>
    <w:p>
      <w:pPr>
        <w:pStyle w:val="ListBullet"/>
        <w:spacing w:after="50" w:line="252" w:lineRule="auto"/>
        <w:ind w:left="259" w:hanging="173"/>
      </w:pPr>
      <w:r>
        <w:rPr>
          <w:rFonts w:ascii="Arial" w:hAnsi="Arial" w:eastAsia="Arial"/>
          <w:color w:val="000000"/>
          <w:sz w:val="21"/>
        </w:rPr>
        <w:t>Reduced visual clarity may impact near detail tasks – recognising faces, reading, writing. Consider large print, auditory labelling, magnification and/or text to speech devices around kitchen, personal care items, medication.</w:t>
      </w:r>
    </w:p>
    <w:p>
      <w:pPr>
        <w:pStyle w:val="ListBullet"/>
        <w:spacing w:after="50" w:line="252" w:lineRule="auto"/>
        <w:ind w:left="259" w:hanging="173"/>
      </w:pPr>
      <w:r>
        <w:rPr>
          <w:rFonts w:ascii="Arial" w:hAnsi="Arial" w:eastAsia="Arial"/>
          <w:color w:val="000000"/>
          <w:sz w:val="21"/>
        </w:rPr>
        <w:t>Scanning techniques may be partially beneficial for detecting required objects in right field such as on kitchen bench, however strategies may also focus on consistent placement and storage of items, intentional setup of work space.</w:t>
      </w:r>
    </w:p>
    <w:p>
      <w:pPr>
        <w:pStyle w:val="ListBullet"/>
        <w:spacing w:after="50" w:line="252" w:lineRule="auto"/>
        <w:ind w:left="259" w:hanging="173"/>
      </w:pPr>
      <w:r>
        <w:rPr>
          <w:rFonts w:ascii="Arial" w:hAnsi="Arial" w:eastAsia="Arial"/>
          <w:color w:val="000000"/>
          <w:sz w:val="21"/>
        </w:rPr>
        <w:t>Non-visual strategies including tactile techniques may be beneficial to consider for tasks including chopping, ability to confirm food is cooked safely, grooming tasks, product identification as remaining vision may not be entirely reliable or safe.</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Consider wife/support guide training for right-side cueing in unfamiliar or busy environments. The wife/support person may receive training from an O&amp;M specialist on human guide technique for busy or unfamiliar environments and to assist in practicing and reinforcing technique and strategies between O&amp;M sessions.</w:t>
      </w:r>
    </w:p>
    <w:p>
      <w:pPr>
        <w:pStyle w:val="ListBullet"/>
        <w:spacing w:after="50" w:line="252" w:lineRule="auto"/>
        <w:ind w:left="259" w:hanging="173"/>
      </w:pPr>
      <w:r>
        <w:rPr>
          <w:rFonts w:ascii="Arial" w:hAnsi="Arial" w:eastAsia="Arial"/>
          <w:color w:val="000000"/>
          <w:sz w:val="21"/>
        </w:rPr>
        <w:t>Consider OT education on home setup, behaviours to support safety and independence such as keeping walkways clear and environment consistent.</w:t>
      </w:r>
    </w:p>
    <w:p>
      <w:pPr>
        <w:pStyle w:val="ListBullet"/>
        <w:spacing w:after="50" w:line="252" w:lineRule="auto"/>
        <w:ind w:left="259" w:hanging="173"/>
      </w:pPr>
      <w:r>
        <w:rPr>
          <w:rFonts w:ascii="Arial" w:hAnsi="Arial" w:eastAsia="Arial"/>
          <w:color w:val="000000"/>
          <w:sz w:val="21"/>
        </w:rPr>
        <w:t>Driving/transport: The optometry report states that the client is not driving. Clarify whether this reflects never having driven or a change in driving status, including when/why if known, because this may affect transport and support planning.</w:t>
      </w:r>
    </w:p>
    <w:p>
      <w:pPr>
        <w:pStyle w:val="ListBullet"/>
        <w:spacing w:after="50" w:line="252" w:lineRule="auto"/>
        <w:ind w:left="259" w:hanging="173"/>
      </w:pPr>
      <w:r>
        <w:rPr>
          <w:rFonts w:ascii="Arial" w:hAnsi="Arial" w:eastAsia="Arial"/>
          <w:color w:val="000000"/>
          <w:sz w:val="21"/>
        </w:rPr>
        <w:t>Assess available home support and carer capacity, and whether additional or formal supports are required.</w:t>
      </w:r>
    </w:p>
    <w:p>
      <w:pPr>
        <w:pStyle w:val="ListBullet"/>
        <w:spacing w:after="50" w:line="252" w:lineRule="auto"/>
        <w:ind w:left="259" w:hanging="173"/>
      </w:pPr>
      <w:r>
        <w:rPr>
          <w:rFonts w:ascii="Arial" w:hAnsi="Arial" w:eastAsia="Arial"/>
          <w:color w:val="000000"/>
          <w:sz w:val="21"/>
        </w:rPr>
        <w:t>Consider a falls alarm/personal alarm where indicated by falls risk, independence and time spent alone.</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High vision-related falls risk — recurrent falls reflect interacting field loss, reduced contrast, glare, and mobility complexity. Further information on hearing loss, cognitive and physical aspects of stroke may be required to further inform falls and safety risk.</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Independent mobility may not be safe in complex or changing light conditions.</w:t>
      </w:r>
    </w:p>
    <w:p>
      <w:pPr>
        <w:pStyle w:val="ListBullet"/>
        <w:spacing w:after="50" w:line="252" w:lineRule="auto"/>
        <w:ind w:left="259" w:hanging="173"/>
      </w:pPr>
      <w:r>
        <w:rPr>
          <w:rFonts w:ascii="Arial" w:hAnsi="Arial" w:eastAsia="Arial"/>
          <w:color w:val="000000"/>
          <w:sz w:val="21"/>
        </w:rPr>
        <w:t>Integrate visual findings with rehabilitation mobility, hearing, cognition, and home-safety assessment; multiple health conditions-vision loss, hearing loss, and mobility should be considered when completing client and home assessments.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