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064</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82</w:t>
      </w:r>
    </w:p>
    <w:p>
      <w:pPr>
        <w:pStyle w:val="ListBullet"/>
        <w:spacing w:after="50" w:line="252" w:lineRule="auto"/>
        <w:ind w:left="259" w:hanging="173"/>
      </w:pPr>
      <w:r>
        <w:rPr>
          <w:rFonts w:ascii="Arial" w:hAnsi="Arial" w:eastAsia="Arial"/>
          <w:color w:val="000000"/>
          <w:sz w:val="21"/>
        </w:rPr>
        <w:t>Setting: Rehabilitation outpatient clinic</w:t>
      </w:r>
    </w:p>
    <w:p>
      <w:pPr>
        <w:pStyle w:val="ListBullet"/>
        <w:spacing w:after="50" w:line="252" w:lineRule="auto"/>
        <w:ind w:left="259" w:hanging="173"/>
      </w:pPr>
      <w:r>
        <w:rPr>
          <w:rFonts w:ascii="Arial" w:hAnsi="Arial" w:eastAsia="Arial"/>
          <w:color w:val="000000"/>
          <w:sz w:val="21"/>
        </w:rPr>
        <w:t>Referral context: Fall after missing a doorway on the left</w:t>
      </w:r>
    </w:p>
    <w:p>
      <w:pPr>
        <w:pStyle w:val="ListBullet"/>
        <w:spacing w:after="50" w:line="252" w:lineRule="auto"/>
        <w:ind w:left="259" w:hanging="173"/>
      </w:pPr>
      <w:r>
        <w:rPr>
          <w:rFonts w:ascii="Arial" w:hAnsi="Arial" w:eastAsia="Arial"/>
          <w:color w:val="000000"/>
          <w:sz w:val="21"/>
        </w:rPr>
        <w:t>Key diagnosis: Stroke-related left homonymous hemianopia</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Left visual field loss may cause missed doorframes, obstacles, and people on the left.</w:t>
      </w:r>
    </w:p>
    <w:p>
      <w:pPr>
        <w:pStyle w:val="ListBullet"/>
        <w:spacing w:after="50" w:line="252" w:lineRule="auto"/>
        <w:ind w:left="259" w:hanging="173"/>
      </w:pPr>
      <w:r>
        <w:rPr>
          <w:rFonts w:ascii="Arial" w:hAnsi="Arial" w:eastAsia="Arial"/>
          <w:color w:val="000000"/>
          <w:sz w:val="21"/>
        </w:rPr>
        <w:t>Preserved central clarity may underestimate mobility impact.</w:t>
      </w:r>
    </w:p>
    <w:p>
      <w:pPr>
        <w:pStyle w:val="ListBullet"/>
        <w:spacing w:after="50" w:line="252" w:lineRule="auto"/>
        <w:ind w:left="259" w:hanging="173"/>
      </w:pPr>
      <w:r>
        <w:rPr>
          <w:rFonts w:ascii="Arial" w:hAnsi="Arial" w:eastAsia="Arial"/>
          <w:color w:val="000000"/>
          <w:sz w:val="21"/>
        </w:rPr>
        <w:t>Reading may be affected by difficulty locating the start of lines.</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Turning into doorways and navigating crowds may be unsafe without consistent left scanning. Detecting on-coming vehicles and making safe road crossing choices may be impacted.</w:t>
      </w:r>
    </w:p>
    <w:p>
      <w:pPr>
        <w:pStyle w:val="ListBullet"/>
        <w:spacing w:after="50" w:line="252" w:lineRule="auto"/>
        <w:ind w:left="259" w:hanging="173"/>
      </w:pPr>
      <w:r>
        <w:rPr>
          <w:rFonts w:ascii="Arial" w:hAnsi="Arial" w:eastAsia="Arial"/>
          <w:color w:val="000000"/>
          <w:sz w:val="21"/>
        </w:rPr>
        <w:t>ADLs/IADLs: ADLs and IADLs may be similarly impacted by hemianopia and require additional intervention and adaptation. All tasks may need to be reviewed in relation to scanning needs. Reading labels, instructions, menus, or forms may be slower due to left-line initiation difficulty. Identifying items in left field for ADLs such as cooking, eating and grooming may be difficult and require conscious effort to scan or visual prompts.</w:t>
      </w:r>
    </w:p>
    <w:p>
      <w:pPr>
        <w:pStyle w:val="ListBullet"/>
        <w:spacing w:after="50" w:line="252" w:lineRule="auto"/>
        <w:ind w:left="259" w:hanging="173"/>
      </w:pPr>
      <w:r>
        <w:rPr>
          <w:rFonts w:ascii="Arial" w:hAnsi="Arial" w:eastAsia="Arial"/>
          <w:color w:val="000000"/>
          <w:sz w:val="21"/>
        </w:rPr>
        <w:t>Participation: Busy environments may be tiring and reduce confidence. May not be easily identified as having vision impairment by public, less likely to receive assistance and understanding.</w:t>
      </w:r>
    </w:p>
    <w:p>
      <w:pPr>
        <w:pStyle w:val="ListBullet"/>
        <w:spacing w:after="50" w:line="252" w:lineRule="auto"/>
        <w:ind w:left="259" w:hanging="173"/>
      </w:pPr>
      <w:r>
        <w:rPr>
          <w:rFonts w:ascii="Arial" w:hAnsi="Arial" w:eastAsia="Arial"/>
          <w:color w:val="000000"/>
          <w:sz w:val="21"/>
        </w:rPr>
        <w:t>Environment: Left-sided hazards near doorways and corridors are priority concerns.</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Orientation &amp; Mobility referral for assessment and intervention may support client to understand where they are and how to move safely. They teach spatial awareness, balance, and safe travel. Comprehensive neurological assessment may further detail scope of vision loss and other neurological factors including impact on visual attention, spatial awareness, judgement, neglect and sequencing, and development of individualised plan for mobility training and prescription of appropriate mobility aids. Scanning strategies and their application to safe mobility in crowds and at crossings may be beneficial.</w:t>
      </w:r>
    </w:p>
    <w:p>
      <w:pPr>
        <w:pStyle w:val="ListBullet"/>
        <w:spacing w:after="50" w:line="252" w:lineRule="auto"/>
        <w:ind w:left="259" w:hanging="173"/>
      </w:pPr>
      <w:r>
        <w:rPr>
          <w:rFonts w:ascii="Arial" w:hAnsi="Arial" w:eastAsia="Arial"/>
          <w:color w:val="000000"/>
          <w:sz w:val="21"/>
        </w:rPr>
        <w:t>O&amp;M intervention regarding safe mobilising may include: Train: pause before turning → scan to left wall/doorframe → locate floor opening → then enter, supporting safer doorway navigation.</w:t>
      </w:r>
    </w:p>
    <w:p>
      <w:pPr>
        <w:spacing w:before="100" w:after="40"/>
      </w:pPr>
      <w:r>
        <w:rPr>
          <w:rFonts w:ascii="Arial" w:hAnsi="Arial" w:eastAsia="Arial"/>
          <w:b/>
          <w:color w:val="000000"/>
          <w:sz w:val="21"/>
        </w:rPr>
        <w:t>Environmental Modifications</w:t>
      </w:r>
    </w:p>
    <w:p>
      <w:pPr>
        <w:pStyle w:val="ListBullet"/>
        <w:spacing w:after="50" w:line="252" w:lineRule="auto"/>
        <w:ind w:left="259" w:hanging="173"/>
      </w:pPr>
      <w:r>
        <w:rPr>
          <w:rFonts w:ascii="Arial" w:hAnsi="Arial" w:eastAsia="Arial"/>
          <w:color w:val="000000"/>
          <w:sz w:val="21"/>
        </w:rPr>
        <w:t>Place a bright vertical cue strip on the left edge of frequently used doorframes to prompt leftward search during room transitions.</w:t>
      </w:r>
    </w:p>
    <w:p>
      <w:pPr>
        <w:pStyle w:val="ListBullet"/>
        <w:spacing w:after="50" w:line="252" w:lineRule="auto"/>
        <w:ind w:left="259" w:hanging="173"/>
      </w:pPr>
      <w:r>
        <w:rPr>
          <w:rFonts w:ascii="Arial" w:hAnsi="Arial" w:eastAsia="Arial"/>
          <w:color w:val="000000"/>
          <w:sz w:val="21"/>
        </w:rPr>
        <w:t>Adequate lighting for safe movement around the home and in task specific areas</w:t>
      </w:r>
    </w:p>
    <w:p>
      <w:pPr>
        <w:pStyle w:val="ListBullet"/>
        <w:spacing w:after="50" w:line="252" w:lineRule="auto"/>
        <w:ind w:left="259" w:hanging="173"/>
      </w:pPr>
      <w:r>
        <w:rPr>
          <w:rFonts w:ascii="Arial" w:hAnsi="Arial" w:eastAsia="Arial"/>
          <w:color w:val="000000"/>
          <w:sz w:val="21"/>
        </w:rPr>
        <w:t>Look at ways to reduce obstacles and visual clutter to allow less distraction</w:t>
      </w:r>
    </w:p>
    <w:p>
      <w:pPr>
        <w:spacing w:before="100" w:after="40"/>
      </w:pPr>
      <w:r>
        <w:rPr>
          <w:rFonts w:ascii="Arial" w:hAnsi="Arial" w:eastAsia="Arial"/>
          <w:b/>
          <w:color w:val="000000"/>
          <w:sz w:val="21"/>
        </w:rPr>
        <w:t>Task Adaptations</w:t>
      </w:r>
    </w:p>
    <w:p>
      <w:pPr>
        <w:pStyle w:val="ListBullet"/>
        <w:spacing w:after="50" w:line="252" w:lineRule="auto"/>
        <w:ind w:left="259" w:hanging="173"/>
      </w:pPr>
      <w:r>
        <w:rPr>
          <w:rFonts w:ascii="Arial" w:hAnsi="Arial" w:eastAsia="Arial"/>
          <w:color w:val="000000"/>
          <w:sz w:val="21"/>
        </w:rPr>
        <w:t>Use a left-margin marker on reading materials to help locate line starts during home and therapy tasks and to prompt scanning techniques. Text to speech accessibility may be necessary if fatigue from reading</w:t>
      </w:r>
    </w:p>
    <w:p>
      <w:pPr>
        <w:pStyle w:val="ListBullet"/>
        <w:spacing w:after="50" w:line="252" w:lineRule="auto"/>
        <w:ind w:left="259" w:hanging="173"/>
      </w:pPr>
      <w:r>
        <w:rPr>
          <w:rFonts w:ascii="Arial" w:hAnsi="Arial" w:eastAsia="Arial"/>
          <w:color w:val="000000"/>
          <w:sz w:val="21"/>
        </w:rPr>
        <w:t>Contrast can be enlisted to assist with locating items. Containment strategies like trays can be used to limit the space to be scanned in tasks.</w:t>
      </w:r>
    </w:p>
    <w:p>
      <w:pPr>
        <w:pStyle w:val="ListBullet"/>
        <w:spacing w:after="50" w:line="252" w:lineRule="auto"/>
        <w:ind w:left="259" w:hanging="173"/>
      </w:pPr>
      <w:r>
        <w:rPr>
          <w:rFonts w:ascii="Arial" w:hAnsi="Arial" w:eastAsia="Arial"/>
          <w:color w:val="000000"/>
          <w:sz w:val="21"/>
        </w:rPr>
        <w:t>Placement of commonly used items within the intact visual field</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education to supports on neurological vision impacts, importance of maintaining clear walkways and minimising risk by closing cupboards, tucking chairs. Education to allow supports to prompt and reinforce scanning and other techniques learned during specialist training.</w:t>
      </w:r>
    </w:p>
    <w:p>
      <w:pPr>
        <w:pStyle w:val="ListBullet"/>
        <w:spacing w:after="50" w:line="252" w:lineRule="auto"/>
        <w:ind w:left="259" w:hanging="173"/>
      </w:pPr>
      <w:r>
        <w:rPr>
          <w:rFonts w:ascii="Arial" w:hAnsi="Arial" w:eastAsia="Arial"/>
          <w:color w:val="000000"/>
          <w:sz w:val="21"/>
        </w:rPr>
        <w:t>Human guide training for supports may be beneficial as an option in new, complex or unfamiliar environments as required.</w:t>
      </w:r>
    </w:p>
    <w:p>
      <w:pPr>
        <w:pStyle w:val="ListBullet"/>
        <w:spacing w:after="50" w:line="252" w:lineRule="auto"/>
        <w:ind w:left="259" w:hanging="173"/>
      </w:pPr>
      <w:r>
        <w:rPr>
          <w:rFonts w:ascii="Arial" w:hAnsi="Arial" w:eastAsia="Arial"/>
          <w:color w:val="000000"/>
          <w:sz w:val="21"/>
        </w:rPr>
        <w:t>Assess available home supports and pathways to additional or formal support where needed.</w:t>
      </w:r>
    </w:p>
    <w:p>
      <w:pPr>
        <w:pStyle w:val="ListBullet"/>
        <w:spacing w:after="50" w:line="252" w:lineRule="auto"/>
        <w:ind w:left="259" w:hanging="173"/>
      </w:pPr>
      <w:r>
        <w:rPr>
          <w:rFonts w:ascii="Arial" w:hAnsi="Arial" w:eastAsia="Arial"/>
          <w:color w:val="000000"/>
          <w:sz w:val="21"/>
        </w:rPr>
        <w:t>Consider a falls alarm/personal alarm where indicated by falls risk and the client’s circumstances.</w:t>
      </w:r>
    </w:p>
    <w:p>
      <w:pPr>
        <w:pStyle w:val="ListBullet"/>
        <w:spacing w:after="50" w:line="252" w:lineRule="auto"/>
        <w:ind w:left="259" w:hanging="173"/>
      </w:pPr>
      <w:r>
        <w:rPr>
          <w:rFonts w:ascii="Arial" w:hAnsi="Arial" w:eastAsia="Arial"/>
          <w:color w:val="000000"/>
          <w:sz w:val="21"/>
        </w:rPr>
        <w:t>Driving/transport: The optometry report states that the client is not driving and that driving remains inappropriate without formal medical and visual-field clearance. Clarify when/why driving ceased and current licence status where relevant to transport and support planning.</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High vision-related falls risk — field loss has already contributed to a fall during doorway navigation.</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Assess scanning consistency during ADLs, transfers, turns, reading, and crowded-space mobility.</w:t>
      </w:r>
    </w:p>
    <w:p>
      <w:pPr>
        <w:pStyle w:val="ListBullet"/>
        <w:spacing w:after="50" w:line="252" w:lineRule="auto"/>
        <w:ind w:left="259" w:hanging="173"/>
      </w:pPr>
      <w:r>
        <w:rPr>
          <w:rFonts w:ascii="Arial" w:hAnsi="Arial" w:eastAsia="Arial"/>
          <w:color w:val="000000"/>
          <w:sz w:val="21"/>
        </w:rPr>
        <w:t>Distinguish visual field loss from neglect or broader perceptual issues during OT assessment. Consider if hemianopia also incorporates element of left sided neglect?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